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611BA" w14:textId="77777777" w:rsidR="00FC725B" w:rsidRPr="00703E4C" w:rsidRDefault="00FC725B" w:rsidP="00FC725B">
      <w:pPr>
        <w:pStyle w:val="berschrift1"/>
        <w:numPr>
          <w:ilvl w:val="0"/>
          <w:numId w:val="0"/>
        </w:numPr>
        <w:ind w:left="567" w:hanging="567"/>
        <w:rPr>
          <w:lang w:val="de-AT"/>
        </w:rPr>
      </w:pPr>
      <w:bookmarkStart w:id="0" w:name="_Toc436304351"/>
      <w:r w:rsidRPr="00703E4C">
        <w:rPr>
          <w:lang w:val="de-AT"/>
        </w:rPr>
        <w:t xml:space="preserve">A 3 </w:t>
      </w:r>
      <w:r w:rsidRPr="00703E4C">
        <w:rPr>
          <w:lang w:val="de-AT"/>
        </w:rPr>
        <w:tab/>
        <w:t>PRÜFUNG DER EINZELNEN PUNKTE BETREFFEND ART UND AUSM</w:t>
      </w:r>
      <w:r>
        <w:rPr>
          <w:lang w:val="de-AT"/>
        </w:rPr>
        <w:t>ASS</w:t>
      </w:r>
      <w:r w:rsidRPr="00703E4C">
        <w:rPr>
          <w:lang w:val="de-AT"/>
        </w:rPr>
        <w:t xml:space="preserve"> DER FÖRDERUNG</w:t>
      </w:r>
      <w:bookmarkEnd w:id="0"/>
    </w:p>
    <w:p w14:paraId="0502E67D" w14:textId="77777777" w:rsidR="00FC725B" w:rsidRPr="003E18BA" w:rsidRDefault="00FC725B" w:rsidP="00FC725B">
      <w:pPr>
        <w:pStyle w:val="berschrift2"/>
        <w:rPr>
          <w:rFonts w:cs="Arial"/>
          <w:szCs w:val="20"/>
        </w:rPr>
      </w:pPr>
      <w:bookmarkStart w:id="1" w:name="_Toc436304352"/>
      <w:r>
        <w:t xml:space="preserve">1 </w:t>
      </w:r>
      <w:r>
        <w:tab/>
      </w:r>
      <w:r w:rsidRPr="001E6599">
        <w:t>ERMITTLUNG</w:t>
      </w:r>
      <w:bookmarkEnd w:id="1"/>
    </w:p>
    <w:p w14:paraId="5B50FBB0" w14:textId="77777777" w:rsidR="00FC725B" w:rsidRPr="001E6599" w:rsidRDefault="00FC725B" w:rsidP="00FC725B">
      <w:pPr>
        <w:pStyle w:val="berschrift3"/>
      </w:pPr>
      <w:bookmarkStart w:id="2" w:name="_Toc436304353"/>
      <w:r>
        <w:t xml:space="preserve">1.1 </w:t>
      </w:r>
      <w:r>
        <w:tab/>
      </w:r>
      <w:r w:rsidRPr="001E6599">
        <w:t>WERDEN MIT DEM VORHABEN</w:t>
      </w:r>
      <w:r>
        <w:t xml:space="preserve"> EINNAHMEN ERZIELT, DIE BEI DER </w:t>
      </w:r>
      <w:r w:rsidRPr="001E6599">
        <w:t>FÖRDERUNG BERÜCKSICHTIGT WERDEN MÜSSEN?</w:t>
      </w:r>
      <w:bookmarkEnd w:id="2"/>
    </w:p>
    <w:tbl>
      <w:tblPr>
        <w:tblStyle w:val="Tabellenraster"/>
        <w:tblW w:w="0" w:type="auto"/>
        <w:tblLook w:val="04A0" w:firstRow="1" w:lastRow="0" w:firstColumn="1" w:lastColumn="0" w:noHBand="0" w:noVBand="1"/>
      </w:tblPr>
      <w:tblGrid>
        <w:gridCol w:w="2823"/>
        <w:gridCol w:w="6219"/>
      </w:tblGrid>
      <w:tr w:rsidR="00FC725B" w14:paraId="2F04A31F" w14:textId="77777777" w:rsidTr="00D96F89">
        <w:tc>
          <w:tcPr>
            <w:tcW w:w="294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4CD46435" w14:textId="77777777" w:rsidR="00FC725B" w:rsidRDefault="00FC725B" w:rsidP="00D96F89">
            <w:pPr>
              <w:rPr>
                <w:rFonts w:cs="Arial"/>
                <w:szCs w:val="20"/>
              </w:rPr>
            </w:pPr>
            <w:r w:rsidRPr="001E6599">
              <w:rPr>
                <w:rFonts w:cs="Arial"/>
                <w:szCs w:val="20"/>
              </w:rPr>
              <w:t>Rechtsgrundlagen der Union</w:t>
            </w:r>
          </w:p>
        </w:tc>
        <w:tc>
          <w:tcPr>
            <w:tcW w:w="6836"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0B1513DB" w14:textId="77777777" w:rsidR="00FC725B" w:rsidRPr="00703E4C" w:rsidRDefault="00FC725B" w:rsidP="00D96F89">
            <w:pPr>
              <w:rPr>
                <w:rFonts w:cs="Arial"/>
                <w:szCs w:val="20"/>
                <w:lang w:val="de-AT"/>
              </w:rPr>
            </w:pPr>
            <w:r w:rsidRPr="00703E4C">
              <w:rPr>
                <w:rFonts w:cs="Arial"/>
                <w:szCs w:val="20"/>
                <w:lang w:val="de-AT"/>
              </w:rPr>
              <w:t xml:space="preserve">Art. 61 und Art. 65 Abs. 8 VO (EU) Nr. 1303/2013 </w:t>
            </w:r>
          </w:p>
          <w:p w14:paraId="42A780CA" w14:textId="77777777" w:rsidR="00FC725B" w:rsidRDefault="00FC725B" w:rsidP="00D96F89">
            <w:pPr>
              <w:rPr>
                <w:rFonts w:cs="Arial"/>
                <w:szCs w:val="20"/>
              </w:rPr>
            </w:pPr>
            <w:r w:rsidRPr="001E6599">
              <w:rPr>
                <w:rFonts w:cs="Arial"/>
                <w:szCs w:val="20"/>
              </w:rPr>
              <w:t>Art. 15-19 VO (EU) Nr. 480/2014</w:t>
            </w:r>
          </w:p>
        </w:tc>
      </w:tr>
      <w:tr w:rsidR="00FC725B" w14:paraId="1375FA6C" w14:textId="77777777" w:rsidTr="00D96F89">
        <w:tc>
          <w:tcPr>
            <w:tcW w:w="2943"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5FF298A7" w14:textId="77777777" w:rsidR="00FC725B" w:rsidRDefault="00FC725B" w:rsidP="00D96F89">
            <w:pPr>
              <w:rPr>
                <w:rFonts w:cs="Arial"/>
                <w:szCs w:val="20"/>
              </w:rPr>
            </w:pPr>
            <w:r w:rsidRPr="001E6599">
              <w:rPr>
                <w:rFonts w:cs="Arial"/>
                <w:szCs w:val="20"/>
              </w:rPr>
              <w:t>Nationale Rechtsgrundlagen</w:t>
            </w:r>
          </w:p>
        </w:tc>
        <w:tc>
          <w:tcPr>
            <w:tcW w:w="6836"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78D727F0" w14:textId="77777777" w:rsidR="00FC725B" w:rsidRPr="001E6599" w:rsidRDefault="00FC725B" w:rsidP="00D96F89">
            <w:pPr>
              <w:rPr>
                <w:rFonts w:cs="Arial"/>
                <w:szCs w:val="20"/>
              </w:rPr>
            </w:pPr>
            <w:r w:rsidRPr="001E6599">
              <w:rPr>
                <w:rFonts w:cs="Arial"/>
                <w:szCs w:val="20"/>
              </w:rPr>
              <w:t xml:space="preserve">§29 ARR 2014 </w:t>
            </w:r>
          </w:p>
          <w:p w14:paraId="71242A41" w14:textId="77777777" w:rsidR="00FC725B" w:rsidRDefault="00FC725B" w:rsidP="00D96F89">
            <w:pPr>
              <w:rPr>
                <w:rFonts w:cs="Arial"/>
                <w:szCs w:val="20"/>
              </w:rPr>
            </w:pPr>
            <w:r>
              <w:rPr>
                <w:rFonts w:cs="Arial"/>
                <w:szCs w:val="20"/>
              </w:rPr>
              <w:t>Nationale Richtlinien</w:t>
            </w:r>
          </w:p>
        </w:tc>
      </w:tr>
      <w:tr w:rsidR="00FC725B" w14:paraId="0D695DFA" w14:textId="77777777" w:rsidTr="00D96F89">
        <w:tc>
          <w:tcPr>
            <w:tcW w:w="2943" w:type="dxa"/>
          </w:tcPr>
          <w:p w14:paraId="3014CFFC" w14:textId="77777777" w:rsidR="00FC725B" w:rsidRDefault="00FC725B" w:rsidP="00D96F89">
            <w:pPr>
              <w:rPr>
                <w:rFonts w:cs="Arial"/>
                <w:szCs w:val="20"/>
              </w:rPr>
            </w:pPr>
            <w:r w:rsidRPr="001E6599">
              <w:rPr>
                <w:rFonts w:cs="Arial"/>
                <w:szCs w:val="20"/>
              </w:rPr>
              <w:t>Weitere relevante Dokumente</w:t>
            </w:r>
          </w:p>
        </w:tc>
        <w:tc>
          <w:tcPr>
            <w:tcW w:w="6836" w:type="dxa"/>
          </w:tcPr>
          <w:p w14:paraId="297BCCB7" w14:textId="77777777" w:rsidR="00FC725B" w:rsidRPr="00703E4C" w:rsidRDefault="00FC725B" w:rsidP="00D96F89">
            <w:pPr>
              <w:rPr>
                <w:rFonts w:cs="Arial"/>
                <w:szCs w:val="20"/>
                <w:lang w:val="de-AT"/>
              </w:rPr>
            </w:pPr>
            <w:r>
              <w:rPr>
                <w:rFonts w:cs="Arial"/>
                <w:szCs w:val="20"/>
                <w:lang w:val="de-AT"/>
              </w:rPr>
              <w:t>-</w:t>
            </w:r>
          </w:p>
        </w:tc>
      </w:tr>
    </w:tbl>
    <w:p w14:paraId="1E46FCF7" w14:textId="77777777" w:rsidR="00FC725B" w:rsidRDefault="00FC725B" w:rsidP="00FC725B">
      <w:pPr>
        <w:rPr>
          <w:rFonts w:cs="Arial"/>
          <w:szCs w:val="20"/>
        </w:rPr>
      </w:pPr>
    </w:p>
    <w:p w14:paraId="24634B9A" w14:textId="77777777" w:rsidR="00823FFA" w:rsidRPr="00FC6EA2" w:rsidRDefault="00FC6EA2" w:rsidP="00FC725B">
      <w:pPr>
        <w:rPr>
          <w:rFonts w:cs="Arial"/>
          <w:b/>
          <w:szCs w:val="20"/>
        </w:rPr>
      </w:pPr>
      <w:r w:rsidRPr="00FC6EA2">
        <w:rPr>
          <w:rFonts w:cs="Arial"/>
          <w:b/>
          <w:szCs w:val="20"/>
        </w:rPr>
        <w:t>Zielsetzung</w:t>
      </w:r>
    </w:p>
    <w:p w14:paraId="10580B72" w14:textId="77777777" w:rsidR="009A3D56" w:rsidRDefault="00D7025D" w:rsidP="00FC725B">
      <w:pPr>
        <w:rPr>
          <w:rFonts w:cs="Arial"/>
          <w:szCs w:val="20"/>
        </w:rPr>
      </w:pPr>
      <w:r>
        <w:rPr>
          <w:rFonts w:cs="Arial"/>
          <w:szCs w:val="20"/>
        </w:rPr>
        <w:t xml:space="preserve">Vorhaben, die während ihrer Durchführung oder nach ihrem Abschluss </w:t>
      </w:r>
      <w:r w:rsidRPr="006D1907">
        <w:rPr>
          <w:rFonts w:cs="Arial"/>
          <w:b/>
          <w:szCs w:val="20"/>
        </w:rPr>
        <w:t>Nettoeinnahmen</w:t>
      </w:r>
      <w:r>
        <w:rPr>
          <w:rFonts w:cs="Arial"/>
          <w:szCs w:val="20"/>
        </w:rPr>
        <w:t xml:space="preserve"> </w:t>
      </w:r>
      <w:r w:rsidR="00353BFD">
        <w:rPr>
          <w:rFonts w:cs="Arial"/>
          <w:szCs w:val="20"/>
        </w:rPr>
        <w:t xml:space="preserve">(Definition siehe unten) </w:t>
      </w:r>
      <w:r>
        <w:rPr>
          <w:rFonts w:cs="Arial"/>
          <w:szCs w:val="20"/>
        </w:rPr>
        <w:t>erwirtschaften</w:t>
      </w:r>
      <w:r w:rsidR="00076BFB">
        <w:rPr>
          <w:rFonts w:cs="Arial"/>
          <w:szCs w:val="20"/>
        </w:rPr>
        <w:t>,</w:t>
      </w:r>
      <w:r w:rsidR="007A38ED">
        <w:rPr>
          <w:rFonts w:cs="Arial"/>
          <w:szCs w:val="20"/>
        </w:rPr>
        <w:t xml:space="preserve"> dürfen</w:t>
      </w:r>
      <w:r w:rsidR="00076BFB" w:rsidRPr="00076BFB">
        <w:rPr>
          <w:rFonts w:cs="Arial"/>
          <w:szCs w:val="20"/>
        </w:rPr>
        <w:t xml:space="preserve"> </w:t>
      </w:r>
      <w:r w:rsidR="006D1907">
        <w:rPr>
          <w:rFonts w:cs="Arial"/>
          <w:szCs w:val="20"/>
        </w:rPr>
        <w:t xml:space="preserve">nicht </w:t>
      </w:r>
      <w:r w:rsidR="0021204B">
        <w:rPr>
          <w:rFonts w:cs="Arial"/>
          <w:szCs w:val="20"/>
        </w:rPr>
        <w:t>„</w:t>
      </w:r>
      <w:r w:rsidR="006D1907">
        <w:rPr>
          <w:rFonts w:cs="Arial"/>
          <w:szCs w:val="20"/>
        </w:rPr>
        <w:t>überfördert</w:t>
      </w:r>
      <w:r w:rsidR="0021204B">
        <w:rPr>
          <w:rFonts w:cs="Arial"/>
          <w:szCs w:val="20"/>
        </w:rPr>
        <w:t>“</w:t>
      </w:r>
      <w:r w:rsidR="006D1907">
        <w:rPr>
          <w:rFonts w:cs="Arial"/>
          <w:szCs w:val="20"/>
        </w:rPr>
        <w:t xml:space="preserve"> werden</w:t>
      </w:r>
      <w:r>
        <w:rPr>
          <w:rFonts w:cs="Arial"/>
          <w:szCs w:val="20"/>
        </w:rPr>
        <w:t xml:space="preserve">. </w:t>
      </w:r>
      <w:r w:rsidR="007A38ED">
        <w:rPr>
          <w:rFonts w:cs="Arial"/>
          <w:szCs w:val="20"/>
        </w:rPr>
        <w:t>Aus diesem Grund werden die Einnahmen geprüft</w:t>
      </w:r>
      <w:r w:rsidR="0021204B">
        <w:rPr>
          <w:rFonts w:cs="Arial"/>
          <w:szCs w:val="20"/>
        </w:rPr>
        <w:t>.</w:t>
      </w:r>
    </w:p>
    <w:p w14:paraId="1CBBC63E" w14:textId="77777777" w:rsidR="006D1907" w:rsidRDefault="006D1907" w:rsidP="00FC725B">
      <w:pPr>
        <w:rPr>
          <w:rFonts w:cs="Arial"/>
          <w:szCs w:val="20"/>
        </w:rPr>
      </w:pPr>
    </w:p>
    <w:p w14:paraId="6AB10A58" w14:textId="77777777" w:rsidR="006D1907" w:rsidRPr="00FC6EA2" w:rsidRDefault="00FC6EA2" w:rsidP="00FC725B">
      <w:pPr>
        <w:rPr>
          <w:rFonts w:cs="Arial"/>
          <w:b/>
          <w:szCs w:val="20"/>
        </w:rPr>
      </w:pPr>
      <w:r>
        <w:rPr>
          <w:rFonts w:cs="Arial"/>
          <w:b/>
          <w:szCs w:val="20"/>
        </w:rPr>
        <w:t xml:space="preserve">Anwendungsbereich </w:t>
      </w:r>
    </w:p>
    <w:p w14:paraId="24E6B94C" w14:textId="77777777" w:rsidR="008F1D22" w:rsidRDefault="00EE6635" w:rsidP="00FC725B">
      <w:pPr>
        <w:rPr>
          <w:rFonts w:cs="Arial"/>
          <w:szCs w:val="20"/>
        </w:rPr>
      </w:pPr>
      <w:r>
        <w:rPr>
          <w:rFonts w:cs="Arial"/>
          <w:szCs w:val="20"/>
        </w:rPr>
        <w:t>In</w:t>
      </w:r>
      <w:r w:rsidR="00FC6EA2">
        <w:rPr>
          <w:rFonts w:cs="Arial"/>
          <w:szCs w:val="20"/>
        </w:rPr>
        <w:t xml:space="preserve"> diesem Abschnitt </w:t>
      </w:r>
      <w:r>
        <w:rPr>
          <w:rFonts w:cs="Arial"/>
          <w:szCs w:val="20"/>
        </w:rPr>
        <w:t xml:space="preserve">werden </w:t>
      </w:r>
      <w:r w:rsidR="00FC6EA2">
        <w:rPr>
          <w:rFonts w:cs="Arial"/>
          <w:szCs w:val="20"/>
        </w:rPr>
        <w:t>Vorhaben</w:t>
      </w:r>
      <w:r>
        <w:rPr>
          <w:rFonts w:cs="Arial"/>
          <w:szCs w:val="20"/>
        </w:rPr>
        <w:t xml:space="preserve"> behandelt</w:t>
      </w:r>
      <w:r w:rsidR="00FC6EA2">
        <w:rPr>
          <w:rFonts w:cs="Arial"/>
          <w:szCs w:val="20"/>
        </w:rPr>
        <w:t xml:space="preserve">, die während oder nach ihrer Durchführung Einnahmen erwirtschaften. </w:t>
      </w:r>
      <w:r w:rsidR="009A3D56">
        <w:rPr>
          <w:rFonts w:cs="Arial"/>
          <w:szCs w:val="20"/>
        </w:rPr>
        <w:t xml:space="preserve">Auf Basis der </w:t>
      </w:r>
      <w:r w:rsidR="00FC6EA2">
        <w:rPr>
          <w:rFonts w:cs="Arial"/>
          <w:szCs w:val="20"/>
        </w:rPr>
        <w:t>in der Tabelle aufgelisteten</w:t>
      </w:r>
      <w:r w:rsidR="009A3D56">
        <w:rPr>
          <w:rFonts w:cs="Arial"/>
          <w:szCs w:val="20"/>
        </w:rPr>
        <w:t xml:space="preserve"> Rechtsgrundlagen </w:t>
      </w:r>
      <w:r w:rsidR="00151527">
        <w:rPr>
          <w:rFonts w:cs="Arial"/>
          <w:szCs w:val="20"/>
        </w:rPr>
        <w:t xml:space="preserve">lassen sich </w:t>
      </w:r>
      <w:r w:rsidR="00FC6EA2">
        <w:rPr>
          <w:rFonts w:cs="Arial"/>
          <w:szCs w:val="20"/>
        </w:rPr>
        <w:t xml:space="preserve">diese </w:t>
      </w:r>
      <w:r w:rsidR="00151527">
        <w:rPr>
          <w:rFonts w:cs="Arial"/>
          <w:szCs w:val="20"/>
        </w:rPr>
        <w:t>Vorhaben</w:t>
      </w:r>
      <w:r w:rsidR="00FC6EA2">
        <w:rPr>
          <w:rFonts w:cs="Arial"/>
          <w:szCs w:val="20"/>
        </w:rPr>
        <w:t xml:space="preserve"> </w:t>
      </w:r>
      <w:r w:rsidR="00151527">
        <w:rPr>
          <w:rFonts w:cs="Arial"/>
          <w:szCs w:val="20"/>
        </w:rPr>
        <w:t xml:space="preserve">in </w:t>
      </w:r>
      <w:r w:rsidR="00922F7D">
        <w:rPr>
          <w:rFonts w:cs="Arial"/>
          <w:b/>
          <w:szCs w:val="20"/>
        </w:rPr>
        <w:t>vier</w:t>
      </w:r>
      <w:r w:rsidR="00151527" w:rsidRPr="006A07AA">
        <w:rPr>
          <w:rFonts w:cs="Arial"/>
          <w:b/>
          <w:szCs w:val="20"/>
        </w:rPr>
        <w:t xml:space="preserve"> </w:t>
      </w:r>
      <w:r w:rsidR="00844D27">
        <w:rPr>
          <w:rFonts w:cs="Arial"/>
          <w:b/>
          <w:szCs w:val="20"/>
        </w:rPr>
        <w:t>G</w:t>
      </w:r>
      <w:r w:rsidR="00151527" w:rsidRPr="006A07AA">
        <w:rPr>
          <w:rFonts w:cs="Arial"/>
          <w:b/>
          <w:szCs w:val="20"/>
        </w:rPr>
        <w:t>ruppen</w:t>
      </w:r>
      <w:r w:rsidR="00151527">
        <w:rPr>
          <w:rFonts w:cs="Arial"/>
          <w:szCs w:val="20"/>
        </w:rPr>
        <w:t xml:space="preserve"> </w:t>
      </w:r>
      <w:r w:rsidR="006A07AA">
        <w:rPr>
          <w:rFonts w:cs="Arial"/>
          <w:szCs w:val="20"/>
        </w:rPr>
        <w:t>mit jeweils spezifische</w:t>
      </w:r>
      <w:r w:rsidR="00C44BC0">
        <w:rPr>
          <w:rFonts w:cs="Arial"/>
          <w:szCs w:val="20"/>
        </w:rPr>
        <w:t>n</w:t>
      </w:r>
      <w:r w:rsidR="006A07AA">
        <w:rPr>
          <w:rFonts w:cs="Arial"/>
          <w:szCs w:val="20"/>
        </w:rPr>
        <w:t xml:space="preserve"> Abwicklungsvorgaben einteilen</w:t>
      </w:r>
      <w:r w:rsidR="00B10BBA">
        <w:rPr>
          <w:rFonts w:cs="Arial"/>
          <w:szCs w:val="20"/>
        </w:rPr>
        <w:t xml:space="preserve">. </w:t>
      </w:r>
    </w:p>
    <w:p w14:paraId="425F5E98" w14:textId="77777777" w:rsidR="00BA78D7" w:rsidRDefault="00BA78D7" w:rsidP="00FC725B">
      <w:pPr>
        <w:rPr>
          <w:rFonts w:cs="Arial"/>
          <w:szCs w:val="20"/>
        </w:rPr>
      </w:pPr>
    </w:p>
    <w:p w14:paraId="5FBCB9B8" w14:textId="77777777" w:rsidR="00BA78D7" w:rsidRDefault="00BA78D7" w:rsidP="00BA78D7">
      <w:pPr>
        <w:rPr>
          <w:rFonts w:cs="Arial"/>
          <w:szCs w:val="20"/>
        </w:rPr>
      </w:pPr>
    </w:p>
    <w:p w14:paraId="662DB324" w14:textId="77777777" w:rsidR="00BA78D7" w:rsidRDefault="00BA78D7" w:rsidP="00BA78D7">
      <w:pPr>
        <w:rPr>
          <w:rFonts w:cs="Arial"/>
          <w:szCs w:val="20"/>
        </w:rPr>
      </w:pPr>
      <w:r>
        <w:rPr>
          <w:rFonts w:cs="Arial"/>
          <w:szCs w:val="20"/>
        </w:rPr>
        <w:t>Nachfolgende Tabelle soll eine kurze Übersicht der wichtigsten Kriterien der einzelnen Gruppen geben:</w:t>
      </w:r>
    </w:p>
    <w:p w14:paraId="023E4A1E" w14:textId="77777777" w:rsidR="00BA78D7" w:rsidRDefault="00BA78D7" w:rsidP="00BA78D7">
      <w:pPr>
        <w:pStyle w:val="Listenabsatz"/>
        <w:rPr>
          <w:rFonts w:cs="Arial"/>
          <w:color w:val="000000" w:themeColor="text1"/>
          <w:szCs w:val="20"/>
        </w:rPr>
      </w:pPr>
    </w:p>
    <w:p w14:paraId="2AAE12CD" w14:textId="77777777" w:rsidR="00BA78D7" w:rsidRPr="000D3262" w:rsidRDefault="00BA78D7" w:rsidP="00BA78D7">
      <w:pPr>
        <w:pStyle w:val="Listenabsatz"/>
        <w:rPr>
          <w:rFonts w:cs="Arial"/>
          <w:color w:val="000000" w:themeColor="text1"/>
          <w:szCs w:val="20"/>
        </w:rPr>
      </w:pPr>
      <w:r w:rsidRPr="000D3262">
        <w:rPr>
          <w:noProof/>
          <w:color w:val="000000" w:themeColor="text1"/>
          <w:lang w:eastAsia="de-AT"/>
        </w:rPr>
        <mc:AlternateContent>
          <mc:Choice Requires="wps">
            <w:drawing>
              <wp:anchor distT="0" distB="0" distL="114300" distR="114300" simplePos="0" relativeHeight="251667456" behindDoc="0" locked="0" layoutInCell="1" allowOverlap="1" wp14:anchorId="3D2D0B19" wp14:editId="040F868B">
                <wp:simplePos x="0" y="0"/>
                <wp:positionH relativeFrom="column">
                  <wp:posOffset>-137820</wp:posOffset>
                </wp:positionH>
                <wp:positionV relativeFrom="paragraph">
                  <wp:posOffset>180187</wp:posOffset>
                </wp:positionV>
                <wp:extent cx="370840" cy="81026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14:paraId="2CDF417E" w14:textId="77777777" w:rsidR="00BA78D7" w:rsidRPr="00AD5033" w:rsidRDefault="00BA78D7" w:rsidP="00BA78D7">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D2D0B19" id="_x0000_t202" coordsize="21600,21600" o:spt="202" path="m,l,21600r21600,l21600,xe">
                <v:stroke joinstyle="miter"/>
                <v:path gradientshapeok="t" o:connecttype="rect"/>
              </v:shapetype>
              <v:shape id="Textfeld 2" o:spid="_x0000_s1026" type="#_x0000_t202" style="position:absolute;left:0;text-align:left;margin-left:-10.85pt;margin-top:14.2pt;width:29.2pt;height:6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" filled="f" stroked="f">
                <v:textbox>
                  <w:txbxContent>
                    <w:p w14:paraId="2CDF417E" w14:textId="77777777" w:rsidR="00BA78D7" w:rsidRPr="00AD5033" w:rsidRDefault="00BA78D7" w:rsidP="00BA78D7">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14:paraId="73141B43" w14:textId="77777777" w:rsidR="00BA78D7" w:rsidRPr="000D3262" w:rsidRDefault="00BA78D7" w:rsidP="00BA78D7">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ind w:left="567"/>
        <w:rPr>
          <w:rFonts w:cs="Arial"/>
          <w:b/>
          <w:bCs/>
          <w:color w:val="000000" w:themeColor="text1"/>
          <w:szCs w:val="20"/>
        </w:rPr>
      </w:pPr>
      <w:r w:rsidRPr="000D3262">
        <w:rPr>
          <w:rFonts w:cs="Arial"/>
          <w:b/>
          <w:bCs/>
          <w:color w:val="000000" w:themeColor="text1"/>
          <w:szCs w:val="20"/>
        </w:rPr>
        <w:t>Hinweis:</w:t>
      </w:r>
    </w:p>
    <w:p w14:paraId="6566D38C" w14:textId="77777777" w:rsidR="00BA78D7" w:rsidRDefault="00BA78D7" w:rsidP="00BA78D7">
      <w:pPr>
        <w:pBdr>
          <w:top w:val="single" w:sz="12" w:space="2" w:color="82AB28"/>
          <w:left w:val="single" w:sz="12" w:space="6" w:color="82AB28"/>
          <w:bottom w:val="single" w:sz="12" w:space="1" w:color="82AB28"/>
          <w:right w:val="single" w:sz="12" w:space="6" w:color="82AB28"/>
        </w:pBdr>
        <w:autoSpaceDE w:val="0"/>
        <w:autoSpaceDN w:val="0"/>
        <w:adjustRightInd w:val="0"/>
        <w:spacing w:before="120"/>
        <w:ind w:left="567"/>
        <w:rPr>
          <w:rFonts w:cs="Arial"/>
          <w:color w:val="000000" w:themeColor="text1"/>
          <w:szCs w:val="20"/>
        </w:rPr>
      </w:pPr>
      <w:r>
        <w:rPr>
          <w:rFonts w:cs="Arial"/>
          <w:color w:val="000000" w:themeColor="text1"/>
          <w:szCs w:val="20"/>
        </w:rPr>
        <w:t xml:space="preserve">Für die Beurteilung der Einnahmen gilt, dass </w:t>
      </w:r>
      <w:r w:rsidR="00CA6F5A">
        <w:rPr>
          <w:rFonts w:cs="Arial"/>
          <w:color w:val="000000" w:themeColor="text1"/>
          <w:szCs w:val="20"/>
        </w:rPr>
        <w:t xml:space="preserve">für </w:t>
      </w:r>
      <w:r>
        <w:rPr>
          <w:rFonts w:cs="Arial"/>
          <w:color w:val="000000" w:themeColor="text1"/>
          <w:szCs w:val="20"/>
        </w:rPr>
        <w:t>vorsteuerabzugsberechtigte Förderungswerber die anrechenbaren Kosten exkl. USt und für nicht vorsteuerabzugsberechtigte Förderungswerber die anrechenbaren Kosten inkl. USt. heranzuziehen sind.</w:t>
      </w:r>
      <w:r w:rsidRPr="000D3262">
        <w:rPr>
          <w:rFonts w:cs="Arial"/>
          <w:color w:val="000000" w:themeColor="text1"/>
          <w:szCs w:val="20"/>
        </w:rPr>
        <w:t xml:space="preserve"> </w:t>
      </w:r>
    </w:p>
    <w:p w14:paraId="34CE8597" w14:textId="77777777" w:rsidR="00BA78D7" w:rsidRPr="000D3262" w:rsidRDefault="00BA78D7" w:rsidP="00BA78D7">
      <w:pPr>
        <w:rPr>
          <w:rFonts w:cs="Arial"/>
          <w:color w:val="000000" w:themeColor="text1"/>
          <w:szCs w:val="20"/>
        </w:rPr>
      </w:pPr>
    </w:p>
    <w:p w14:paraId="71E7C2A0" w14:textId="77777777" w:rsidR="00BA78D7" w:rsidRDefault="00BA78D7" w:rsidP="00FC725B">
      <w:pPr>
        <w:rPr>
          <w:rFonts w:cs="Arial"/>
          <w:szCs w:val="20"/>
        </w:rPr>
      </w:pPr>
    </w:p>
    <w:p w14:paraId="63226CFC" w14:textId="77777777" w:rsidR="00BA78D7" w:rsidRDefault="00BA78D7" w:rsidP="00FC725B">
      <w:pPr>
        <w:rPr>
          <w:rFonts w:cs="Arial"/>
          <w:szCs w:val="20"/>
        </w:rPr>
      </w:pPr>
    </w:p>
    <w:p w14:paraId="3ABBD8F0" w14:textId="77777777" w:rsidR="00BA78D7" w:rsidRDefault="00BA78D7">
      <w:pPr>
        <w:spacing w:after="160" w:line="259" w:lineRule="auto"/>
        <w:jc w:val="left"/>
        <w:rPr>
          <w:rFonts w:cs="Arial"/>
          <w:szCs w:val="20"/>
        </w:rPr>
      </w:pPr>
      <w:r>
        <w:rPr>
          <w:rFonts w:cs="Arial"/>
          <w:szCs w:val="20"/>
        </w:rPr>
        <w:br w:type="page"/>
      </w:r>
    </w:p>
    <w:p w14:paraId="537E3D69" w14:textId="77777777" w:rsidR="006D1907" w:rsidRDefault="003E6D10" w:rsidP="00FC725B">
      <w:pPr>
        <w:rPr>
          <w:rFonts w:cs="Arial"/>
          <w:szCs w:val="20"/>
        </w:rPr>
      </w:pPr>
      <w:r>
        <w:rPr>
          <w:rFonts w:cs="Arial"/>
          <w:szCs w:val="20"/>
        </w:rPr>
        <w:lastRenderedPageBreak/>
        <w:t xml:space="preserve">Tabelle </w:t>
      </w:r>
      <w:r w:rsidR="00880DB4">
        <w:rPr>
          <w:rFonts w:cs="Arial"/>
          <w:szCs w:val="20"/>
        </w:rPr>
        <w:t>1</w:t>
      </w:r>
      <w:r>
        <w:rPr>
          <w:rFonts w:cs="Arial"/>
          <w:szCs w:val="20"/>
        </w:rPr>
        <w:t>: Übersicht der wichtigsten Kriterien der vier Gruppen</w:t>
      </w:r>
    </w:p>
    <w:tbl>
      <w:tblPr>
        <w:tblStyle w:val="Tabellenraster"/>
        <w:tblW w:w="9306" w:type="dxa"/>
        <w:jc w:val="center"/>
        <w:tblLook w:val="04A0" w:firstRow="1" w:lastRow="0" w:firstColumn="1" w:lastColumn="0" w:noHBand="0" w:noVBand="1"/>
      </w:tblPr>
      <w:tblGrid>
        <w:gridCol w:w="1577"/>
        <w:gridCol w:w="1728"/>
        <w:gridCol w:w="1855"/>
        <w:gridCol w:w="2065"/>
        <w:gridCol w:w="2081"/>
      </w:tblGrid>
      <w:tr w:rsidR="00B10BBA" w:rsidRPr="00C44BC0" w14:paraId="7A7CF150" w14:textId="77777777" w:rsidTr="006A43E4">
        <w:trPr>
          <w:trHeight w:val="454"/>
          <w:jc w:val="center"/>
        </w:trPr>
        <w:tc>
          <w:tcPr>
            <w:tcW w:w="9306" w:type="dxa"/>
            <w:gridSpan w:val="5"/>
            <w:shd w:val="clear" w:color="auto" w:fill="C45911" w:themeFill="accent2" w:themeFillShade="BF"/>
            <w:vAlign w:val="center"/>
          </w:tcPr>
          <w:p w14:paraId="2D06D743" w14:textId="77777777" w:rsidR="00B10BBA" w:rsidRPr="00C44BC0" w:rsidRDefault="00B10BBA" w:rsidP="00B10BBA">
            <w:pPr>
              <w:jc w:val="center"/>
              <w:rPr>
                <w:rFonts w:cs="Arial"/>
                <w:b/>
                <w:szCs w:val="20"/>
                <w:lang w:val="de-AT"/>
              </w:rPr>
            </w:pPr>
            <w:r w:rsidRPr="00C44BC0">
              <w:rPr>
                <w:rFonts w:cs="Arial"/>
                <w:b/>
                <w:szCs w:val="20"/>
                <w:lang w:val="de-AT"/>
              </w:rPr>
              <w:t>Gruppierung von Einnahmen schaffenden Vorhaben</w:t>
            </w:r>
          </w:p>
        </w:tc>
      </w:tr>
      <w:tr w:rsidR="006A43E4" w:rsidRPr="00C44BC0" w14:paraId="00E82E68" w14:textId="77777777" w:rsidTr="0012333B">
        <w:trPr>
          <w:trHeight w:val="454"/>
          <w:jc w:val="center"/>
        </w:trPr>
        <w:tc>
          <w:tcPr>
            <w:tcW w:w="1577" w:type="dxa"/>
            <w:shd w:val="clear" w:color="auto" w:fill="F7CAAC" w:themeFill="accent2" w:themeFillTint="66"/>
          </w:tcPr>
          <w:p w14:paraId="2642914F" w14:textId="77777777" w:rsidR="00B10BBA" w:rsidRPr="00C44BC0" w:rsidRDefault="00B10BBA" w:rsidP="00B36EFC">
            <w:pPr>
              <w:spacing w:before="40"/>
              <w:jc w:val="left"/>
              <w:rPr>
                <w:rFonts w:cs="Arial"/>
                <w:szCs w:val="20"/>
                <w:lang w:val="de-AT"/>
              </w:rPr>
            </w:pPr>
          </w:p>
        </w:tc>
        <w:tc>
          <w:tcPr>
            <w:tcW w:w="1728" w:type="dxa"/>
            <w:shd w:val="clear" w:color="auto" w:fill="F7CAAC" w:themeFill="accent2" w:themeFillTint="66"/>
            <w:vAlign w:val="center"/>
          </w:tcPr>
          <w:p w14:paraId="62CD584B" w14:textId="77777777" w:rsidR="00B36EFC" w:rsidRPr="00C44BC0" w:rsidRDefault="00B36EFC" w:rsidP="00B36EFC">
            <w:pPr>
              <w:spacing w:before="40"/>
              <w:jc w:val="center"/>
              <w:rPr>
                <w:rFonts w:cs="Arial"/>
                <w:sz w:val="16"/>
                <w:szCs w:val="16"/>
                <w:lang w:val="de-AT"/>
              </w:rPr>
            </w:pPr>
            <w:r w:rsidRPr="00C44BC0">
              <w:rPr>
                <w:rFonts w:cs="Arial"/>
                <w:b/>
                <w:szCs w:val="20"/>
                <w:lang w:val="de-AT"/>
              </w:rPr>
              <w:t>Gruppe 1</w:t>
            </w:r>
          </w:p>
        </w:tc>
        <w:tc>
          <w:tcPr>
            <w:tcW w:w="1855" w:type="dxa"/>
            <w:shd w:val="clear" w:color="auto" w:fill="F7CAAC" w:themeFill="accent2" w:themeFillTint="66"/>
            <w:vAlign w:val="center"/>
          </w:tcPr>
          <w:p w14:paraId="7AC111DB" w14:textId="77777777" w:rsidR="00B36EFC" w:rsidRPr="00C44BC0" w:rsidRDefault="00B36EFC" w:rsidP="00B36EFC">
            <w:pPr>
              <w:spacing w:before="40"/>
              <w:jc w:val="center"/>
              <w:rPr>
                <w:rFonts w:cs="Arial"/>
                <w:b/>
                <w:szCs w:val="20"/>
                <w:lang w:val="de-AT"/>
              </w:rPr>
            </w:pPr>
            <w:r w:rsidRPr="00C44BC0">
              <w:rPr>
                <w:rFonts w:cs="Arial"/>
                <w:b/>
                <w:szCs w:val="20"/>
                <w:lang w:val="de-AT"/>
              </w:rPr>
              <w:t>Gruppe 2</w:t>
            </w:r>
          </w:p>
        </w:tc>
        <w:tc>
          <w:tcPr>
            <w:tcW w:w="2065" w:type="dxa"/>
            <w:shd w:val="clear" w:color="auto" w:fill="F7CAAC" w:themeFill="accent2" w:themeFillTint="66"/>
            <w:vAlign w:val="center"/>
          </w:tcPr>
          <w:p w14:paraId="5BD6EBE1" w14:textId="77777777" w:rsidR="00B10BBA" w:rsidRPr="00C44BC0" w:rsidRDefault="00B36EFC" w:rsidP="00B36EFC">
            <w:pPr>
              <w:spacing w:before="40"/>
              <w:jc w:val="center"/>
              <w:rPr>
                <w:rFonts w:cs="Arial"/>
                <w:b/>
                <w:szCs w:val="20"/>
                <w:lang w:val="de-AT"/>
              </w:rPr>
            </w:pPr>
            <w:r w:rsidRPr="00C44BC0">
              <w:rPr>
                <w:rFonts w:cs="Arial"/>
                <w:b/>
                <w:szCs w:val="20"/>
                <w:lang w:val="de-AT"/>
              </w:rPr>
              <w:t>Gruppe 3</w:t>
            </w:r>
          </w:p>
        </w:tc>
        <w:tc>
          <w:tcPr>
            <w:tcW w:w="2081" w:type="dxa"/>
            <w:shd w:val="clear" w:color="auto" w:fill="F7CAAC" w:themeFill="accent2" w:themeFillTint="66"/>
            <w:vAlign w:val="center"/>
          </w:tcPr>
          <w:p w14:paraId="5F23F12D" w14:textId="77777777" w:rsidR="00B10BBA" w:rsidRPr="00C44BC0" w:rsidRDefault="00B36EFC" w:rsidP="00B36EFC">
            <w:pPr>
              <w:spacing w:before="40"/>
              <w:jc w:val="center"/>
              <w:rPr>
                <w:rFonts w:cs="Arial"/>
                <w:b/>
                <w:szCs w:val="20"/>
                <w:lang w:val="de-AT"/>
              </w:rPr>
            </w:pPr>
            <w:r w:rsidRPr="00C44BC0">
              <w:rPr>
                <w:rFonts w:cs="Arial"/>
                <w:b/>
                <w:szCs w:val="20"/>
                <w:lang w:val="de-AT"/>
              </w:rPr>
              <w:t>Gruppe 4</w:t>
            </w:r>
          </w:p>
        </w:tc>
      </w:tr>
      <w:tr w:rsidR="006A43E4" w:rsidRPr="00C44BC0" w14:paraId="4A690970" w14:textId="77777777" w:rsidTr="0012333B">
        <w:trPr>
          <w:trHeight w:val="454"/>
          <w:jc w:val="center"/>
        </w:trPr>
        <w:tc>
          <w:tcPr>
            <w:tcW w:w="1577" w:type="dxa"/>
            <w:shd w:val="clear" w:color="auto" w:fill="F7CAAC" w:themeFill="accent2" w:themeFillTint="66"/>
          </w:tcPr>
          <w:p w14:paraId="66490433" w14:textId="77777777" w:rsidR="00BA78D7" w:rsidRPr="00C44BC0" w:rsidRDefault="00BA78D7" w:rsidP="008A4403">
            <w:pPr>
              <w:spacing w:before="40"/>
              <w:jc w:val="left"/>
              <w:rPr>
                <w:rFonts w:cs="Arial"/>
                <w:b/>
                <w:sz w:val="16"/>
                <w:szCs w:val="16"/>
                <w:lang w:val="de-AT"/>
              </w:rPr>
            </w:pPr>
            <w:r w:rsidRPr="00C44BC0">
              <w:rPr>
                <w:rFonts w:cs="Arial"/>
                <w:b/>
                <w:sz w:val="16"/>
                <w:szCs w:val="16"/>
                <w:lang w:val="de-AT"/>
              </w:rPr>
              <w:t>Rechtsgrundlage:</w:t>
            </w:r>
          </w:p>
        </w:tc>
        <w:tc>
          <w:tcPr>
            <w:tcW w:w="1728" w:type="dxa"/>
          </w:tcPr>
          <w:p w14:paraId="1A33101E" w14:textId="77777777" w:rsidR="00BA78D7" w:rsidRPr="00C44BC0" w:rsidRDefault="00BA78D7" w:rsidP="008A4403">
            <w:pPr>
              <w:spacing w:before="40"/>
              <w:jc w:val="center"/>
              <w:rPr>
                <w:rFonts w:cs="Arial"/>
                <w:sz w:val="16"/>
                <w:szCs w:val="16"/>
                <w:lang w:val="de-AT"/>
              </w:rPr>
            </w:pPr>
            <w:r w:rsidRPr="00C44BC0">
              <w:rPr>
                <w:rFonts w:cs="Arial"/>
                <w:sz w:val="16"/>
                <w:szCs w:val="16"/>
                <w:lang w:val="de-AT"/>
              </w:rPr>
              <w:t>Art. 61 VO 1303/2013</w:t>
            </w:r>
          </w:p>
        </w:tc>
        <w:tc>
          <w:tcPr>
            <w:tcW w:w="1855" w:type="dxa"/>
          </w:tcPr>
          <w:p w14:paraId="33FE09F1" w14:textId="77777777" w:rsidR="00BA78D7" w:rsidRPr="00C44BC0" w:rsidRDefault="00BA78D7" w:rsidP="008A4403">
            <w:pPr>
              <w:spacing w:before="40"/>
              <w:jc w:val="center"/>
              <w:rPr>
                <w:rFonts w:cs="Arial"/>
                <w:sz w:val="16"/>
                <w:szCs w:val="16"/>
                <w:lang w:val="de-AT"/>
              </w:rPr>
            </w:pPr>
            <w:r w:rsidRPr="00C44BC0">
              <w:rPr>
                <w:rFonts w:cs="Arial"/>
                <w:sz w:val="16"/>
                <w:szCs w:val="16"/>
                <w:lang w:val="de-AT"/>
              </w:rPr>
              <w:t>Art. 65 VO 1303/2013</w:t>
            </w:r>
          </w:p>
        </w:tc>
        <w:tc>
          <w:tcPr>
            <w:tcW w:w="2065" w:type="dxa"/>
          </w:tcPr>
          <w:p w14:paraId="33D0417C" w14:textId="77777777" w:rsidR="00BA78D7" w:rsidRPr="00C44BC0" w:rsidRDefault="00BA78D7" w:rsidP="008A4403">
            <w:pPr>
              <w:spacing w:before="40"/>
              <w:jc w:val="center"/>
              <w:rPr>
                <w:rFonts w:cs="Arial"/>
                <w:sz w:val="16"/>
                <w:szCs w:val="16"/>
                <w:lang w:val="de-AT"/>
              </w:rPr>
            </w:pPr>
            <w:r w:rsidRPr="00C44BC0">
              <w:rPr>
                <w:rFonts w:cs="Arial"/>
                <w:sz w:val="16"/>
                <w:szCs w:val="16"/>
                <w:lang w:val="de-AT"/>
              </w:rPr>
              <w:t>De-minimis;</w:t>
            </w:r>
          </w:p>
          <w:p w14:paraId="576D1134" w14:textId="77777777" w:rsidR="00BA78D7" w:rsidRPr="00C44BC0" w:rsidRDefault="00BA78D7" w:rsidP="008A4403">
            <w:pPr>
              <w:spacing w:before="40"/>
              <w:jc w:val="center"/>
              <w:rPr>
                <w:rFonts w:cs="Arial"/>
                <w:sz w:val="16"/>
                <w:szCs w:val="16"/>
                <w:lang w:val="de-AT"/>
              </w:rPr>
            </w:pPr>
            <w:r w:rsidRPr="00C44BC0">
              <w:rPr>
                <w:rFonts w:cs="Arial"/>
                <w:sz w:val="16"/>
                <w:szCs w:val="16"/>
                <w:lang w:val="de-AT"/>
              </w:rPr>
              <w:t>Beihilfe für KMU;</w:t>
            </w:r>
          </w:p>
          <w:p w14:paraId="0E39EBF5" w14:textId="77777777" w:rsidR="00BA78D7" w:rsidRPr="00C44BC0" w:rsidRDefault="00BA78D7" w:rsidP="008A4403">
            <w:pPr>
              <w:spacing w:before="40"/>
              <w:jc w:val="center"/>
              <w:rPr>
                <w:rFonts w:cs="Arial"/>
                <w:sz w:val="16"/>
                <w:szCs w:val="16"/>
                <w:lang w:val="de-AT"/>
              </w:rPr>
            </w:pPr>
            <w:r w:rsidRPr="00C44BC0">
              <w:rPr>
                <w:rFonts w:cs="Arial"/>
                <w:sz w:val="16"/>
                <w:szCs w:val="16"/>
                <w:lang w:val="de-AT"/>
              </w:rPr>
              <w:t>Gruppenfreistellungs-VO</w:t>
            </w:r>
          </w:p>
          <w:p w14:paraId="5F1DD757" w14:textId="77777777" w:rsidR="00BA78D7" w:rsidRPr="00C44BC0" w:rsidRDefault="00BA78D7" w:rsidP="008A4403">
            <w:pPr>
              <w:spacing w:before="40"/>
              <w:jc w:val="center"/>
              <w:rPr>
                <w:rFonts w:cs="Arial"/>
                <w:sz w:val="16"/>
                <w:szCs w:val="16"/>
                <w:lang w:val="de-AT"/>
              </w:rPr>
            </w:pPr>
            <w:r w:rsidRPr="00C44BC0">
              <w:rPr>
                <w:rFonts w:cs="Arial"/>
                <w:sz w:val="16"/>
                <w:szCs w:val="16"/>
                <w:lang w:val="de-AT"/>
              </w:rPr>
              <w:t>Agrarische LE-Maßnahmen;</w:t>
            </w:r>
          </w:p>
          <w:p w14:paraId="16DB0D6F" w14:textId="77777777" w:rsidR="00BA78D7" w:rsidRPr="00C44BC0" w:rsidRDefault="00BA78D7" w:rsidP="008A4403">
            <w:pPr>
              <w:spacing w:before="40"/>
              <w:jc w:val="center"/>
              <w:rPr>
                <w:rFonts w:cs="Arial"/>
                <w:sz w:val="16"/>
                <w:szCs w:val="16"/>
                <w:lang w:val="de-AT"/>
              </w:rPr>
            </w:pPr>
            <w:r w:rsidRPr="00C44BC0">
              <w:rPr>
                <w:rFonts w:cs="Arial"/>
                <w:sz w:val="16"/>
                <w:szCs w:val="16"/>
                <w:lang w:val="de-AT"/>
              </w:rPr>
              <w:t>Einzelprüfungen des Finanzierungsbedarfs</w:t>
            </w:r>
          </w:p>
        </w:tc>
        <w:tc>
          <w:tcPr>
            <w:tcW w:w="2081" w:type="dxa"/>
          </w:tcPr>
          <w:p w14:paraId="6C9F1338" w14:textId="77777777" w:rsidR="00BA78D7" w:rsidRPr="00C44BC0" w:rsidRDefault="00BA78D7" w:rsidP="008A4403">
            <w:pPr>
              <w:spacing w:before="40"/>
              <w:jc w:val="center"/>
              <w:rPr>
                <w:rFonts w:cs="Arial"/>
                <w:sz w:val="16"/>
                <w:szCs w:val="16"/>
                <w:lang w:val="de-AT"/>
              </w:rPr>
            </w:pPr>
            <w:r w:rsidRPr="00C44BC0">
              <w:rPr>
                <w:rFonts w:cs="Arial"/>
                <w:sz w:val="16"/>
                <w:szCs w:val="16"/>
                <w:lang w:val="de-AT"/>
              </w:rPr>
              <w:t>§ 29 ARR</w:t>
            </w:r>
          </w:p>
          <w:p w14:paraId="2DB13884" w14:textId="77777777" w:rsidR="00BA78D7" w:rsidRPr="00C44BC0" w:rsidRDefault="00BA78D7" w:rsidP="008A4403">
            <w:pPr>
              <w:spacing w:before="40"/>
              <w:jc w:val="center"/>
              <w:rPr>
                <w:rFonts w:cs="Arial"/>
                <w:sz w:val="16"/>
                <w:szCs w:val="16"/>
                <w:lang w:val="de-AT"/>
              </w:rPr>
            </w:pPr>
            <w:r w:rsidRPr="00C44BC0">
              <w:rPr>
                <w:rFonts w:cs="Arial"/>
                <w:sz w:val="16"/>
                <w:szCs w:val="16"/>
                <w:lang w:val="de-AT"/>
              </w:rPr>
              <w:t>Nationale Richtlinien</w:t>
            </w:r>
          </w:p>
          <w:p w14:paraId="02D1EC75" w14:textId="77777777" w:rsidR="00BA78D7" w:rsidRPr="00C44BC0" w:rsidRDefault="00BA78D7" w:rsidP="008A4403">
            <w:pPr>
              <w:spacing w:before="40"/>
              <w:jc w:val="center"/>
              <w:rPr>
                <w:rFonts w:cs="Arial"/>
                <w:sz w:val="16"/>
                <w:szCs w:val="16"/>
                <w:lang w:val="de-AT"/>
              </w:rPr>
            </w:pPr>
          </w:p>
        </w:tc>
      </w:tr>
      <w:tr w:rsidR="006A43E4" w:rsidRPr="00C44BC0" w14:paraId="0BBE39E7" w14:textId="77777777" w:rsidTr="0012333B">
        <w:trPr>
          <w:trHeight w:val="454"/>
          <w:jc w:val="center"/>
        </w:trPr>
        <w:tc>
          <w:tcPr>
            <w:tcW w:w="1577" w:type="dxa"/>
            <w:shd w:val="clear" w:color="auto" w:fill="F7CAAC" w:themeFill="accent2" w:themeFillTint="66"/>
          </w:tcPr>
          <w:p w14:paraId="3A9BEBBA" w14:textId="77777777" w:rsidR="00BA78D7" w:rsidRPr="00C44BC0" w:rsidRDefault="00BA78D7" w:rsidP="00BA78D7">
            <w:pPr>
              <w:spacing w:before="40"/>
              <w:jc w:val="left"/>
              <w:rPr>
                <w:rFonts w:cs="Arial"/>
                <w:b/>
                <w:sz w:val="16"/>
                <w:szCs w:val="16"/>
              </w:rPr>
            </w:pPr>
            <w:r w:rsidRPr="00C44BC0">
              <w:rPr>
                <w:rFonts w:cs="Arial"/>
                <w:b/>
                <w:sz w:val="16"/>
                <w:szCs w:val="16"/>
                <w:lang w:val="de-AT"/>
              </w:rPr>
              <w:t>Beihilfenrelevanz</w:t>
            </w:r>
          </w:p>
        </w:tc>
        <w:tc>
          <w:tcPr>
            <w:tcW w:w="1728" w:type="dxa"/>
          </w:tcPr>
          <w:p w14:paraId="0AAF077B" w14:textId="77777777" w:rsidR="00BA78D7" w:rsidRPr="00C44BC0" w:rsidRDefault="00BA78D7" w:rsidP="00BA78D7">
            <w:pPr>
              <w:spacing w:before="40"/>
              <w:jc w:val="center"/>
              <w:rPr>
                <w:rFonts w:cs="Arial"/>
                <w:sz w:val="16"/>
                <w:szCs w:val="16"/>
              </w:rPr>
            </w:pPr>
            <w:r w:rsidRPr="00C44BC0">
              <w:rPr>
                <w:rFonts w:cs="Arial"/>
                <w:sz w:val="16"/>
                <w:szCs w:val="16"/>
                <w:lang w:val="de-AT"/>
              </w:rPr>
              <w:t>Nicht beihilfenrelevant</w:t>
            </w:r>
          </w:p>
        </w:tc>
        <w:tc>
          <w:tcPr>
            <w:tcW w:w="1855" w:type="dxa"/>
          </w:tcPr>
          <w:p w14:paraId="77BEA30A" w14:textId="77777777" w:rsidR="00BA78D7" w:rsidRPr="00C44BC0" w:rsidRDefault="00BA78D7" w:rsidP="00BA78D7">
            <w:pPr>
              <w:spacing w:before="40"/>
              <w:jc w:val="center"/>
              <w:rPr>
                <w:rFonts w:cs="Arial"/>
                <w:sz w:val="16"/>
                <w:szCs w:val="16"/>
              </w:rPr>
            </w:pPr>
            <w:r w:rsidRPr="00C44BC0">
              <w:rPr>
                <w:rFonts w:cs="Arial"/>
                <w:sz w:val="16"/>
                <w:szCs w:val="16"/>
                <w:lang w:val="de-AT"/>
              </w:rPr>
              <w:t>Nicht beihilfenrelevant</w:t>
            </w:r>
          </w:p>
        </w:tc>
        <w:tc>
          <w:tcPr>
            <w:tcW w:w="2065" w:type="dxa"/>
          </w:tcPr>
          <w:p w14:paraId="6781C106" w14:textId="77777777" w:rsidR="00BA78D7" w:rsidRPr="00C44BC0" w:rsidRDefault="006A43E4" w:rsidP="00BA78D7">
            <w:pPr>
              <w:spacing w:before="40"/>
              <w:jc w:val="center"/>
              <w:rPr>
                <w:rFonts w:cs="Arial"/>
                <w:sz w:val="16"/>
                <w:szCs w:val="16"/>
              </w:rPr>
            </w:pPr>
            <w:r>
              <w:rPr>
                <w:rFonts w:cs="Arial"/>
                <w:sz w:val="16"/>
                <w:szCs w:val="16"/>
                <w:lang w:val="de-AT"/>
              </w:rPr>
              <w:t>B</w:t>
            </w:r>
            <w:r w:rsidR="00BA78D7" w:rsidRPr="00C44BC0">
              <w:rPr>
                <w:rFonts w:cs="Arial"/>
                <w:sz w:val="16"/>
                <w:szCs w:val="16"/>
                <w:lang w:val="de-AT"/>
              </w:rPr>
              <w:t>eihilfenrelevant</w:t>
            </w:r>
          </w:p>
        </w:tc>
        <w:tc>
          <w:tcPr>
            <w:tcW w:w="2081" w:type="dxa"/>
          </w:tcPr>
          <w:p w14:paraId="77D6EFE6" w14:textId="77777777" w:rsidR="00BA78D7" w:rsidRPr="00ED2128" w:rsidRDefault="00BA78D7" w:rsidP="00081DC7">
            <w:pPr>
              <w:spacing w:before="40"/>
              <w:jc w:val="center"/>
              <w:rPr>
                <w:rFonts w:cs="Arial"/>
                <w:sz w:val="16"/>
                <w:szCs w:val="16"/>
                <w:lang w:val="de-AT"/>
              </w:rPr>
            </w:pPr>
            <w:r w:rsidRPr="00C44BC0">
              <w:rPr>
                <w:rFonts w:cs="Arial"/>
                <w:sz w:val="16"/>
                <w:szCs w:val="16"/>
                <w:lang w:val="de-AT"/>
              </w:rPr>
              <w:t>Nicht beihilfenrelevant</w:t>
            </w:r>
            <w:r w:rsidR="006A43E4">
              <w:rPr>
                <w:rFonts w:cs="Arial"/>
                <w:sz w:val="16"/>
                <w:szCs w:val="16"/>
                <w:lang w:val="de-AT"/>
              </w:rPr>
              <w:t xml:space="preserve"> sowie beihilfenrelevante Ausnahmefälle</w:t>
            </w:r>
            <w:r w:rsidR="00081DC7">
              <w:rPr>
                <w:rFonts w:cs="Arial"/>
                <w:sz w:val="16"/>
                <w:szCs w:val="16"/>
                <w:lang w:val="de-AT"/>
              </w:rPr>
              <w:t xml:space="preserve">, welche nicht der </w:t>
            </w:r>
            <w:r w:rsidR="006A43E4">
              <w:rPr>
                <w:rFonts w:cs="Arial"/>
                <w:sz w:val="16"/>
                <w:szCs w:val="16"/>
                <w:lang w:val="de-AT"/>
              </w:rPr>
              <w:t>Gruppe 3</w:t>
            </w:r>
            <w:r w:rsidR="00EB7B59">
              <w:rPr>
                <w:rFonts w:cs="Arial"/>
                <w:sz w:val="16"/>
                <w:szCs w:val="16"/>
                <w:lang w:val="de-AT"/>
              </w:rPr>
              <w:t xml:space="preserve"> </w:t>
            </w:r>
            <w:r w:rsidR="00081DC7">
              <w:rPr>
                <w:rFonts w:cs="Arial"/>
                <w:sz w:val="16"/>
                <w:szCs w:val="16"/>
                <w:lang w:val="de-AT"/>
              </w:rPr>
              <w:t>zugeordnet werden</w:t>
            </w:r>
          </w:p>
        </w:tc>
      </w:tr>
      <w:tr w:rsidR="006A43E4" w:rsidRPr="00C44BC0" w14:paraId="7A00B214" w14:textId="77777777" w:rsidTr="0012333B">
        <w:trPr>
          <w:trHeight w:val="454"/>
          <w:jc w:val="center"/>
        </w:trPr>
        <w:tc>
          <w:tcPr>
            <w:tcW w:w="1577" w:type="dxa"/>
            <w:shd w:val="clear" w:color="auto" w:fill="F7CAAC" w:themeFill="accent2" w:themeFillTint="66"/>
          </w:tcPr>
          <w:p w14:paraId="1BC00366" w14:textId="77777777" w:rsidR="00BA78D7" w:rsidRPr="00C44BC0" w:rsidRDefault="00BA78D7" w:rsidP="00BA78D7">
            <w:pPr>
              <w:spacing w:before="40"/>
              <w:jc w:val="left"/>
              <w:rPr>
                <w:rFonts w:cs="Arial"/>
                <w:b/>
                <w:sz w:val="16"/>
                <w:szCs w:val="16"/>
              </w:rPr>
            </w:pPr>
            <w:r w:rsidRPr="00C44BC0">
              <w:rPr>
                <w:rFonts w:cs="Arial"/>
                <w:b/>
                <w:sz w:val="16"/>
                <w:szCs w:val="16"/>
                <w:lang w:val="de-AT"/>
              </w:rPr>
              <w:t>Höhe der anrechenbaren Kosten</w:t>
            </w:r>
          </w:p>
        </w:tc>
        <w:tc>
          <w:tcPr>
            <w:tcW w:w="1728" w:type="dxa"/>
          </w:tcPr>
          <w:p w14:paraId="304F278A" w14:textId="77777777" w:rsidR="00BA78D7" w:rsidRPr="00C44BC0" w:rsidRDefault="00BA78D7" w:rsidP="00BA78D7">
            <w:pPr>
              <w:spacing w:before="40"/>
              <w:jc w:val="center"/>
              <w:rPr>
                <w:rFonts w:cs="Arial"/>
                <w:sz w:val="16"/>
                <w:szCs w:val="16"/>
                <w:lang w:val="de-AT"/>
              </w:rPr>
            </w:pPr>
            <w:r w:rsidRPr="00C44BC0">
              <w:rPr>
                <w:rFonts w:cs="Arial"/>
                <w:sz w:val="16"/>
                <w:szCs w:val="16"/>
                <w:lang w:val="de-AT"/>
              </w:rPr>
              <w:t xml:space="preserve">Größer </w:t>
            </w:r>
          </w:p>
          <w:p w14:paraId="67AC978C" w14:textId="77777777" w:rsidR="00BA78D7" w:rsidRPr="00C44BC0" w:rsidRDefault="00BA78D7" w:rsidP="00BA78D7">
            <w:pPr>
              <w:spacing w:before="40"/>
              <w:jc w:val="center"/>
              <w:rPr>
                <w:rFonts w:cs="Arial"/>
                <w:sz w:val="16"/>
                <w:szCs w:val="16"/>
              </w:rPr>
            </w:pPr>
            <w:r w:rsidRPr="00C44BC0">
              <w:rPr>
                <w:rFonts w:cs="Arial"/>
                <w:sz w:val="16"/>
                <w:szCs w:val="16"/>
                <w:lang w:val="de-AT"/>
              </w:rPr>
              <w:t>€ 1.000.000,00</w:t>
            </w:r>
          </w:p>
        </w:tc>
        <w:tc>
          <w:tcPr>
            <w:tcW w:w="1855" w:type="dxa"/>
          </w:tcPr>
          <w:p w14:paraId="633EBB76" w14:textId="77777777" w:rsidR="00BA78D7" w:rsidRPr="00C44BC0" w:rsidRDefault="00BA78D7" w:rsidP="00BA78D7">
            <w:pPr>
              <w:spacing w:before="40"/>
              <w:jc w:val="center"/>
              <w:rPr>
                <w:rFonts w:cs="Arial"/>
                <w:sz w:val="16"/>
                <w:szCs w:val="16"/>
              </w:rPr>
            </w:pPr>
            <w:r w:rsidRPr="00C44BC0">
              <w:rPr>
                <w:rFonts w:cs="Arial"/>
                <w:sz w:val="16"/>
                <w:szCs w:val="16"/>
                <w:lang w:val="de-AT"/>
              </w:rPr>
              <w:t>Größer € 50.000,00</w:t>
            </w:r>
          </w:p>
        </w:tc>
        <w:tc>
          <w:tcPr>
            <w:tcW w:w="2065" w:type="dxa"/>
          </w:tcPr>
          <w:p w14:paraId="78AA8364" w14:textId="77777777" w:rsidR="00BA78D7" w:rsidRPr="00ED2128" w:rsidRDefault="00BA78D7" w:rsidP="00BA78D7">
            <w:pPr>
              <w:spacing w:before="40"/>
              <w:jc w:val="center"/>
              <w:rPr>
                <w:rFonts w:cs="Arial"/>
                <w:sz w:val="16"/>
                <w:szCs w:val="16"/>
                <w:lang w:val="de-AT"/>
              </w:rPr>
            </w:pPr>
            <w:r w:rsidRPr="00C44BC0">
              <w:rPr>
                <w:rFonts w:cs="Arial"/>
                <w:sz w:val="16"/>
                <w:szCs w:val="16"/>
                <w:lang w:val="de-AT"/>
              </w:rPr>
              <w:t>Irrelevant für die Berücksichtigung der Einnahmen</w:t>
            </w:r>
          </w:p>
        </w:tc>
        <w:tc>
          <w:tcPr>
            <w:tcW w:w="2081" w:type="dxa"/>
          </w:tcPr>
          <w:p w14:paraId="407F9840" w14:textId="77777777" w:rsidR="00BA78D7" w:rsidRPr="00ED2128" w:rsidRDefault="00BA78D7" w:rsidP="00BA78D7">
            <w:pPr>
              <w:spacing w:before="40"/>
              <w:jc w:val="center"/>
              <w:rPr>
                <w:rFonts w:cs="Arial"/>
                <w:sz w:val="16"/>
                <w:szCs w:val="16"/>
                <w:lang w:val="de-AT"/>
              </w:rPr>
            </w:pPr>
            <w:r w:rsidRPr="00C44BC0">
              <w:rPr>
                <w:rFonts w:cs="Arial"/>
                <w:sz w:val="16"/>
                <w:szCs w:val="16"/>
                <w:lang w:val="de-AT"/>
              </w:rPr>
              <w:t>Irrelevant für die Berücksichtigung der Einnahmen</w:t>
            </w:r>
          </w:p>
        </w:tc>
      </w:tr>
      <w:tr w:rsidR="006A43E4" w:rsidRPr="00C44BC0" w14:paraId="2F203FB3" w14:textId="77777777" w:rsidTr="0012333B">
        <w:trPr>
          <w:trHeight w:val="454"/>
          <w:jc w:val="center"/>
        </w:trPr>
        <w:tc>
          <w:tcPr>
            <w:tcW w:w="1577" w:type="dxa"/>
            <w:shd w:val="clear" w:color="auto" w:fill="F7CAAC" w:themeFill="accent2" w:themeFillTint="66"/>
          </w:tcPr>
          <w:p w14:paraId="07BC9983" w14:textId="77777777" w:rsidR="00BA78D7" w:rsidRPr="00C44BC0" w:rsidRDefault="00BA78D7" w:rsidP="00BA78D7">
            <w:pPr>
              <w:spacing w:before="40"/>
              <w:jc w:val="left"/>
              <w:rPr>
                <w:rFonts w:cs="Arial"/>
                <w:b/>
                <w:sz w:val="16"/>
                <w:szCs w:val="16"/>
                <w:lang w:val="de-AT"/>
              </w:rPr>
            </w:pPr>
            <w:r w:rsidRPr="00C44BC0">
              <w:rPr>
                <w:rFonts w:cs="Arial"/>
                <w:b/>
                <w:sz w:val="16"/>
                <w:szCs w:val="16"/>
                <w:lang w:val="de-AT"/>
              </w:rPr>
              <w:t>Art des Vorhabens:</w:t>
            </w:r>
          </w:p>
        </w:tc>
        <w:tc>
          <w:tcPr>
            <w:tcW w:w="1728" w:type="dxa"/>
          </w:tcPr>
          <w:p w14:paraId="6959EDF6" w14:textId="77777777" w:rsidR="00BA78D7" w:rsidRPr="00C44BC0" w:rsidRDefault="00BA78D7" w:rsidP="00BA78D7">
            <w:pPr>
              <w:spacing w:before="40"/>
              <w:jc w:val="center"/>
              <w:rPr>
                <w:rFonts w:cs="Arial"/>
                <w:sz w:val="16"/>
                <w:szCs w:val="16"/>
                <w:lang w:val="de-AT"/>
              </w:rPr>
            </w:pPr>
            <w:r w:rsidRPr="00C44BC0">
              <w:rPr>
                <w:rFonts w:cs="Arial"/>
                <w:sz w:val="16"/>
                <w:szCs w:val="16"/>
                <w:lang w:val="de-AT"/>
              </w:rPr>
              <w:t>Investition/ Infrastruktur</w:t>
            </w:r>
          </w:p>
        </w:tc>
        <w:tc>
          <w:tcPr>
            <w:tcW w:w="1855" w:type="dxa"/>
          </w:tcPr>
          <w:p w14:paraId="3A0AD920" w14:textId="77777777" w:rsidR="00BA78D7" w:rsidRPr="00C44BC0" w:rsidRDefault="00BA78D7" w:rsidP="00BA78D7">
            <w:pPr>
              <w:spacing w:before="40"/>
              <w:jc w:val="center"/>
              <w:rPr>
                <w:rFonts w:cs="Arial"/>
                <w:sz w:val="16"/>
                <w:szCs w:val="16"/>
                <w:lang w:val="de-AT"/>
              </w:rPr>
            </w:pPr>
            <w:r w:rsidRPr="00C44BC0">
              <w:rPr>
                <w:rFonts w:cs="Arial"/>
                <w:sz w:val="16"/>
                <w:szCs w:val="16"/>
                <w:lang w:val="de-AT"/>
              </w:rPr>
              <w:t>Vorhaben auf Basis von Sachkosten</w:t>
            </w:r>
          </w:p>
        </w:tc>
        <w:tc>
          <w:tcPr>
            <w:tcW w:w="2065" w:type="dxa"/>
          </w:tcPr>
          <w:p w14:paraId="4D386389" w14:textId="77777777" w:rsidR="00BA78D7" w:rsidRDefault="00BA78D7" w:rsidP="00BA78D7">
            <w:pPr>
              <w:spacing w:before="40"/>
              <w:jc w:val="center"/>
              <w:rPr>
                <w:rFonts w:cs="Arial"/>
                <w:sz w:val="16"/>
                <w:szCs w:val="16"/>
                <w:lang w:val="de-AT"/>
              </w:rPr>
            </w:pPr>
            <w:r w:rsidRPr="00C44BC0">
              <w:rPr>
                <w:rFonts w:cs="Arial"/>
                <w:sz w:val="16"/>
                <w:szCs w:val="16"/>
                <w:lang w:val="de-AT"/>
              </w:rPr>
              <w:t>Vorhaben auf Basis von Sachkosten und oder Investition/ Infrastruktur</w:t>
            </w:r>
          </w:p>
          <w:p w14:paraId="074F607B" w14:textId="77777777" w:rsidR="00274A87" w:rsidRDefault="006A43E4" w:rsidP="00BA78D7">
            <w:pPr>
              <w:spacing w:before="40"/>
              <w:jc w:val="center"/>
              <w:rPr>
                <w:rFonts w:cs="Arial"/>
                <w:sz w:val="16"/>
                <w:szCs w:val="16"/>
                <w:lang w:val="de-AT"/>
              </w:rPr>
            </w:pPr>
            <w:r w:rsidRPr="006A43E4">
              <w:rPr>
                <w:rFonts w:cs="Arial"/>
                <w:b/>
                <w:sz w:val="16"/>
                <w:szCs w:val="16"/>
                <w:lang w:val="de-AT"/>
              </w:rPr>
              <w:t>Ausnahme</w:t>
            </w:r>
            <w:r>
              <w:rPr>
                <w:rFonts w:cs="Arial"/>
                <w:b/>
                <w:sz w:val="16"/>
                <w:szCs w:val="16"/>
                <w:lang w:val="de-AT"/>
              </w:rPr>
              <w:t>n</w:t>
            </w:r>
            <w:r w:rsidRPr="006A43E4">
              <w:rPr>
                <w:rFonts w:cs="Arial"/>
                <w:b/>
                <w:sz w:val="16"/>
                <w:szCs w:val="16"/>
                <w:lang w:val="de-AT"/>
              </w:rPr>
              <w:t>:</w:t>
            </w:r>
          </w:p>
          <w:p w14:paraId="0B34FCC5" w14:textId="77777777" w:rsidR="006A43E4" w:rsidRDefault="006A43E4" w:rsidP="00BA78D7">
            <w:pPr>
              <w:spacing w:before="40"/>
              <w:jc w:val="center"/>
              <w:rPr>
                <w:rFonts w:cs="Arial"/>
                <w:sz w:val="16"/>
                <w:szCs w:val="16"/>
                <w:lang w:val="de-AT"/>
              </w:rPr>
            </w:pPr>
            <w:r w:rsidRPr="00274A87">
              <w:rPr>
                <w:rFonts w:cs="Arial"/>
                <w:b/>
                <w:sz w:val="16"/>
                <w:szCs w:val="16"/>
                <w:lang w:val="de-AT"/>
              </w:rPr>
              <w:t>Sachkostenprojekte</w:t>
            </w:r>
            <w:r>
              <w:rPr>
                <w:rFonts w:cs="Arial"/>
                <w:sz w:val="16"/>
                <w:szCs w:val="16"/>
                <w:lang w:val="de-AT"/>
              </w:rPr>
              <w:t>, bei denen Projektträger als Förderungswerber auftreten, die nicht selbst die Endbegünstigten sind.</w:t>
            </w:r>
          </w:p>
          <w:p w14:paraId="0AD1B9E2" w14:textId="77777777" w:rsidR="006A43E4" w:rsidRPr="00C44BC0" w:rsidRDefault="006A43E4" w:rsidP="00AD2F9E">
            <w:pPr>
              <w:spacing w:before="40"/>
              <w:jc w:val="center"/>
              <w:rPr>
                <w:rFonts w:cs="Arial"/>
                <w:sz w:val="16"/>
                <w:szCs w:val="16"/>
                <w:lang w:val="de-AT"/>
              </w:rPr>
            </w:pPr>
            <w:r w:rsidRPr="00274A87">
              <w:rPr>
                <w:rFonts w:cs="Arial"/>
                <w:b/>
                <w:sz w:val="16"/>
                <w:szCs w:val="16"/>
                <w:lang w:val="de-AT"/>
              </w:rPr>
              <w:t>Sachkostenprojekte</w:t>
            </w:r>
            <w:r>
              <w:rPr>
                <w:rFonts w:cs="Arial"/>
                <w:sz w:val="16"/>
                <w:szCs w:val="16"/>
                <w:lang w:val="de-AT"/>
              </w:rPr>
              <w:t>, bei denen</w:t>
            </w:r>
            <w:r w:rsidR="0012333B">
              <w:rPr>
                <w:rFonts w:cs="Arial"/>
                <w:sz w:val="16"/>
                <w:szCs w:val="16"/>
                <w:lang w:val="de-AT"/>
              </w:rPr>
              <w:t xml:space="preserve"> im Rahmen des </w:t>
            </w:r>
            <w:r w:rsidR="00AD2F9E">
              <w:rPr>
                <w:rFonts w:cs="Arial"/>
                <w:sz w:val="16"/>
                <w:szCs w:val="16"/>
                <w:lang w:val="de-AT"/>
              </w:rPr>
              <w:t>Vorhabens</w:t>
            </w:r>
            <w:r>
              <w:rPr>
                <w:rFonts w:cs="Arial"/>
                <w:sz w:val="16"/>
                <w:szCs w:val="16"/>
                <w:lang w:val="de-AT"/>
              </w:rPr>
              <w:t xml:space="preserve"> produzierte Waren oder Dienstleistungen </w:t>
            </w:r>
            <w:r w:rsidR="0012333B">
              <w:rPr>
                <w:rFonts w:cs="Arial"/>
                <w:sz w:val="16"/>
                <w:szCs w:val="16"/>
                <w:lang w:val="de-AT"/>
              </w:rPr>
              <w:t xml:space="preserve">gegen einen finanziellen Beitrag angeboten bzw. verkauft werden. </w:t>
            </w:r>
          </w:p>
        </w:tc>
        <w:tc>
          <w:tcPr>
            <w:tcW w:w="2081" w:type="dxa"/>
          </w:tcPr>
          <w:p w14:paraId="2AD4BBF0" w14:textId="77777777" w:rsidR="00BA78D7" w:rsidRDefault="00BA78D7" w:rsidP="00BA78D7">
            <w:pPr>
              <w:spacing w:before="40"/>
              <w:jc w:val="center"/>
              <w:rPr>
                <w:rFonts w:cs="Arial"/>
                <w:sz w:val="16"/>
                <w:szCs w:val="16"/>
                <w:lang w:val="de-AT"/>
              </w:rPr>
            </w:pPr>
            <w:r w:rsidRPr="00C44BC0">
              <w:rPr>
                <w:rFonts w:cs="Arial"/>
                <w:sz w:val="16"/>
                <w:szCs w:val="16"/>
                <w:lang w:val="de-AT"/>
              </w:rPr>
              <w:t>Vorhaben auf Basis von Sachkosten und oder Investition/ Infrastruktur</w:t>
            </w:r>
            <w:r w:rsidR="006A43E4">
              <w:rPr>
                <w:rFonts w:cs="Arial"/>
                <w:sz w:val="16"/>
                <w:szCs w:val="16"/>
                <w:lang w:val="de-AT"/>
              </w:rPr>
              <w:t xml:space="preserve"> </w:t>
            </w:r>
          </w:p>
          <w:p w14:paraId="3E3ABFCD" w14:textId="77777777" w:rsidR="0012333B" w:rsidRDefault="00AD2F9E" w:rsidP="00BA78D7">
            <w:pPr>
              <w:spacing w:before="40"/>
              <w:jc w:val="center"/>
              <w:rPr>
                <w:rFonts w:cs="Arial"/>
                <w:sz w:val="16"/>
                <w:szCs w:val="16"/>
                <w:lang w:val="de-AT"/>
              </w:rPr>
            </w:pPr>
            <w:r>
              <w:rPr>
                <w:rFonts w:cs="Arial"/>
                <w:sz w:val="16"/>
                <w:szCs w:val="16"/>
                <w:lang w:val="de-AT"/>
              </w:rPr>
              <w:t>Vorhaben</w:t>
            </w:r>
            <w:r w:rsidR="0012333B">
              <w:rPr>
                <w:rFonts w:cs="Arial"/>
                <w:sz w:val="16"/>
                <w:szCs w:val="16"/>
                <w:lang w:val="de-AT"/>
              </w:rPr>
              <w:t xml:space="preserve"> die die Ausnahmefälle der Gruppe 3 betreffen</w:t>
            </w:r>
          </w:p>
          <w:p w14:paraId="6EDCFE9A" w14:textId="77777777" w:rsidR="006A43E4" w:rsidRPr="00C44BC0" w:rsidRDefault="006A43E4" w:rsidP="00BA78D7">
            <w:pPr>
              <w:spacing w:before="40"/>
              <w:jc w:val="center"/>
              <w:rPr>
                <w:rFonts w:cs="Arial"/>
                <w:sz w:val="16"/>
                <w:szCs w:val="16"/>
                <w:lang w:val="de-AT"/>
              </w:rPr>
            </w:pPr>
          </w:p>
        </w:tc>
      </w:tr>
      <w:tr w:rsidR="006A43E4" w:rsidRPr="00C44BC0" w14:paraId="449C218D" w14:textId="77777777" w:rsidTr="0012333B">
        <w:trPr>
          <w:trHeight w:val="454"/>
          <w:jc w:val="center"/>
        </w:trPr>
        <w:tc>
          <w:tcPr>
            <w:tcW w:w="1577" w:type="dxa"/>
            <w:shd w:val="clear" w:color="auto" w:fill="F7CAAC" w:themeFill="accent2" w:themeFillTint="66"/>
          </w:tcPr>
          <w:p w14:paraId="03388348" w14:textId="77777777" w:rsidR="00BA78D7" w:rsidRPr="00C44BC0" w:rsidRDefault="00BA78D7" w:rsidP="00BA78D7">
            <w:pPr>
              <w:spacing w:before="40"/>
              <w:jc w:val="left"/>
              <w:rPr>
                <w:rFonts w:cs="Arial"/>
                <w:b/>
                <w:sz w:val="16"/>
                <w:szCs w:val="16"/>
                <w:lang w:val="de-AT"/>
              </w:rPr>
            </w:pPr>
            <w:r w:rsidRPr="00C44BC0">
              <w:rPr>
                <w:rFonts w:cs="Arial"/>
                <w:b/>
                <w:sz w:val="16"/>
                <w:szCs w:val="16"/>
                <w:lang w:val="de-AT"/>
              </w:rPr>
              <w:t>Zeitpunkt der Entstehung der Einnahmen:</w:t>
            </w:r>
          </w:p>
        </w:tc>
        <w:tc>
          <w:tcPr>
            <w:tcW w:w="1728" w:type="dxa"/>
          </w:tcPr>
          <w:p w14:paraId="2A111F0C" w14:textId="77777777" w:rsidR="00BA78D7" w:rsidRPr="00C44BC0" w:rsidRDefault="00BA78D7" w:rsidP="00BA78D7">
            <w:pPr>
              <w:spacing w:before="40"/>
              <w:jc w:val="center"/>
              <w:rPr>
                <w:rFonts w:cs="Arial"/>
                <w:sz w:val="16"/>
                <w:szCs w:val="16"/>
                <w:lang w:val="de-AT"/>
              </w:rPr>
            </w:pPr>
            <w:r w:rsidRPr="00C44BC0">
              <w:rPr>
                <w:rFonts w:cs="Arial"/>
                <w:sz w:val="16"/>
                <w:szCs w:val="16"/>
                <w:lang w:val="de-AT"/>
              </w:rPr>
              <w:t>Nach Abschluss des Vorhabens und ggf. während der Durchführung</w:t>
            </w:r>
          </w:p>
        </w:tc>
        <w:tc>
          <w:tcPr>
            <w:tcW w:w="1855" w:type="dxa"/>
          </w:tcPr>
          <w:p w14:paraId="6DE0EA8C" w14:textId="77777777" w:rsidR="00BA78D7" w:rsidRPr="00C44BC0" w:rsidRDefault="00BA78D7" w:rsidP="00BA78D7">
            <w:pPr>
              <w:spacing w:before="40"/>
              <w:jc w:val="center"/>
              <w:rPr>
                <w:rFonts w:cs="Arial"/>
                <w:sz w:val="16"/>
                <w:szCs w:val="16"/>
                <w:lang w:val="de-AT"/>
              </w:rPr>
            </w:pPr>
            <w:r w:rsidRPr="00C44BC0">
              <w:rPr>
                <w:rFonts w:cs="Arial"/>
                <w:sz w:val="16"/>
                <w:szCs w:val="16"/>
                <w:lang w:val="de-AT"/>
              </w:rPr>
              <w:t>Während der Durchführung</w:t>
            </w:r>
          </w:p>
        </w:tc>
        <w:tc>
          <w:tcPr>
            <w:tcW w:w="2065" w:type="dxa"/>
          </w:tcPr>
          <w:p w14:paraId="6892EFDF" w14:textId="77777777" w:rsidR="00BA78D7" w:rsidRPr="00C44BC0" w:rsidRDefault="00BA78D7" w:rsidP="00BA78D7">
            <w:pPr>
              <w:spacing w:before="40"/>
              <w:jc w:val="center"/>
              <w:rPr>
                <w:rFonts w:cs="Arial"/>
                <w:sz w:val="16"/>
                <w:szCs w:val="16"/>
                <w:lang w:val="de-AT"/>
              </w:rPr>
            </w:pPr>
            <w:r w:rsidRPr="00C44BC0">
              <w:rPr>
                <w:rFonts w:cs="Arial"/>
                <w:sz w:val="16"/>
                <w:szCs w:val="16"/>
                <w:lang w:val="de-AT"/>
              </w:rPr>
              <w:t xml:space="preserve">Während der Durchführung und oder nach Abschluss des Vorhabens </w:t>
            </w:r>
          </w:p>
        </w:tc>
        <w:tc>
          <w:tcPr>
            <w:tcW w:w="2081" w:type="dxa"/>
          </w:tcPr>
          <w:p w14:paraId="68093752" w14:textId="77777777" w:rsidR="00BA78D7" w:rsidRPr="00C44BC0" w:rsidRDefault="00BA78D7" w:rsidP="00BA78D7">
            <w:pPr>
              <w:spacing w:before="40"/>
              <w:jc w:val="center"/>
              <w:rPr>
                <w:rFonts w:cs="Arial"/>
                <w:sz w:val="16"/>
                <w:szCs w:val="16"/>
                <w:lang w:val="de-AT"/>
              </w:rPr>
            </w:pPr>
            <w:r w:rsidRPr="00C44BC0">
              <w:rPr>
                <w:rFonts w:cs="Arial"/>
                <w:sz w:val="16"/>
                <w:szCs w:val="16"/>
                <w:lang w:val="de-AT"/>
              </w:rPr>
              <w:t>Während der Durchführung und oder nach Abschluss des Vorhabens</w:t>
            </w:r>
          </w:p>
        </w:tc>
      </w:tr>
      <w:tr w:rsidR="00E06937" w:rsidRPr="00C44BC0" w14:paraId="4C43C74D" w14:textId="77777777" w:rsidTr="0012333B">
        <w:trPr>
          <w:trHeight w:val="454"/>
          <w:jc w:val="center"/>
        </w:trPr>
        <w:tc>
          <w:tcPr>
            <w:tcW w:w="1577" w:type="dxa"/>
            <w:shd w:val="clear" w:color="auto" w:fill="F7CAAC" w:themeFill="accent2" w:themeFillTint="66"/>
          </w:tcPr>
          <w:p w14:paraId="34BFF31E" w14:textId="77777777" w:rsidR="00E06937" w:rsidRPr="00C44BC0" w:rsidRDefault="00E06937" w:rsidP="00E06937">
            <w:pPr>
              <w:spacing w:before="40"/>
              <w:jc w:val="left"/>
              <w:rPr>
                <w:rFonts w:cs="Arial"/>
                <w:b/>
                <w:sz w:val="16"/>
                <w:szCs w:val="16"/>
              </w:rPr>
            </w:pPr>
            <w:r>
              <w:rPr>
                <w:rFonts w:cs="Arial"/>
                <w:b/>
                <w:sz w:val="16"/>
                <w:szCs w:val="16"/>
              </w:rPr>
              <w:t>Überwiegend betroffene Vorhabensarten</w:t>
            </w:r>
          </w:p>
        </w:tc>
        <w:tc>
          <w:tcPr>
            <w:tcW w:w="1728" w:type="dxa"/>
          </w:tcPr>
          <w:p w14:paraId="42DE9805" w14:textId="0C064787" w:rsidR="00E06937" w:rsidRPr="00384B7A" w:rsidRDefault="00E06937" w:rsidP="00E06937">
            <w:pPr>
              <w:spacing w:before="40"/>
              <w:jc w:val="center"/>
              <w:rPr>
                <w:rFonts w:cs="Arial"/>
                <w:sz w:val="16"/>
                <w:szCs w:val="16"/>
              </w:rPr>
            </w:pPr>
            <w:r w:rsidRPr="00384B7A">
              <w:rPr>
                <w:rFonts w:cs="Arial"/>
                <w:sz w:val="16"/>
                <w:szCs w:val="16"/>
              </w:rPr>
              <w:t xml:space="preserve">Leader, Naturschutz,  Dorferneuerung </w:t>
            </w:r>
          </w:p>
        </w:tc>
        <w:tc>
          <w:tcPr>
            <w:tcW w:w="1855" w:type="dxa"/>
          </w:tcPr>
          <w:p w14:paraId="707AD4A6" w14:textId="67BDDE3A" w:rsidR="00E06937" w:rsidRPr="00384B7A" w:rsidRDefault="00E06937" w:rsidP="00E06937">
            <w:pPr>
              <w:spacing w:before="40"/>
              <w:jc w:val="center"/>
              <w:rPr>
                <w:rFonts w:cs="Arial"/>
                <w:sz w:val="16"/>
                <w:szCs w:val="16"/>
              </w:rPr>
            </w:pPr>
            <w:r w:rsidRPr="00384B7A">
              <w:rPr>
                <w:rFonts w:cs="Arial"/>
                <w:sz w:val="16"/>
                <w:szCs w:val="16"/>
              </w:rPr>
              <w:t xml:space="preserve">Leader, Naturschutz, Dorferneuerung </w:t>
            </w:r>
          </w:p>
        </w:tc>
        <w:tc>
          <w:tcPr>
            <w:tcW w:w="2065" w:type="dxa"/>
          </w:tcPr>
          <w:p w14:paraId="774D78C5" w14:textId="2824C00D" w:rsidR="00E06937" w:rsidRPr="0028638A" w:rsidRDefault="00E06937" w:rsidP="00E06937">
            <w:pPr>
              <w:spacing w:before="40"/>
              <w:jc w:val="center"/>
              <w:rPr>
                <w:rFonts w:cs="Arial"/>
                <w:sz w:val="16"/>
                <w:szCs w:val="16"/>
                <w:lang w:val="de-AT"/>
              </w:rPr>
            </w:pPr>
            <w:r w:rsidRPr="0028638A">
              <w:rPr>
                <w:rFonts w:cs="Arial"/>
                <w:sz w:val="16"/>
                <w:szCs w:val="16"/>
                <w:lang w:val="de-DE"/>
              </w:rPr>
              <w:t>VHA der M4</w:t>
            </w:r>
          </w:p>
          <w:p w14:paraId="721F0E68" w14:textId="24E88226" w:rsidR="00E06937" w:rsidRPr="0028638A" w:rsidRDefault="00E06937" w:rsidP="00E06937">
            <w:pPr>
              <w:spacing w:before="40"/>
              <w:jc w:val="center"/>
              <w:rPr>
                <w:rFonts w:cs="Arial"/>
                <w:sz w:val="16"/>
                <w:szCs w:val="16"/>
                <w:lang w:val="de-AT"/>
              </w:rPr>
            </w:pPr>
            <w:r w:rsidRPr="0028638A">
              <w:rPr>
                <w:rFonts w:cs="Arial"/>
                <w:sz w:val="16"/>
                <w:szCs w:val="16"/>
                <w:lang w:val="de-DE"/>
              </w:rPr>
              <w:t>VHA der M6</w:t>
            </w:r>
          </w:p>
          <w:p w14:paraId="2C789AE7" w14:textId="06D5B3F7" w:rsidR="00E06937" w:rsidRPr="00384B7A" w:rsidRDefault="00E06937" w:rsidP="00E06937">
            <w:pPr>
              <w:spacing w:before="40"/>
              <w:jc w:val="center"/>
              <w:rPr>
                <w:rFonts w:cs="Arial"/>
                <w:sz w:val="16"/>
                <w:szCs w:val="16"/>
              </w:rPr>
            </w:pPr>
            <w:r w:rsidRPr="00384B7A">
              <w:rPr>
                <w:rFonts w:cs="Arial"/>
                <w:sz w:val="16"/>
                <w:szCs w:val="16"/>
              </w:rPr>
              <w:t>VHA M8</w:t>
            </w:r>
          </w:p>
          <w:p w14:paraId="29DB51C8" w14:textId="77777777" w:rsidR="00E06937" w:rsidRDefault="00E06937" w:rsidP="00E06937">
            <w:pPr>
              <w:spacing w:before="40"/>
              <w:jc w:val="center"/>
              <w:rPr>
                <w:rFonts w:cs="Arial"/>
                <w:sz w:val="16"/>
                <w:szCs w:val="16"/>
              </w:rPr>
            </w:pPr>
            <w:r w:rsidRPr="00384B7A">
              <w:rPr>
                <w:rFonts w:cs="Arial"/>
                <w:sz w:val="16"/>
                <w:szCs w:val="16"/>
              </w:rPr>
              <w:t>Leader</w:t>
            </w:r>
            <w:r>
              <w:rPr>
                <w:rFonts w:cs="Arial"/>
                <w:sz w:val="16"/>
                <w:szCs w:val="16"/>
              </w:rPr>
              <w:t xml:space="preserve"> (De minimis)</w:t>
            </w:r>
          </w:p>
          <w:p w14:paraId="2FCA8233" w14:textId="392DD1A7" w:rsidR="00E06937" w:rsidRPr="00384B7A" w:rsidRDefault="00E06937" w:rsidP="00E06937">
            <w:pPr>
              <w:spacing w:before="40"/>
              <w:jc w:val="center"/>
              <w:rPr>
                <w:rFonts w:cs="Arial"/>
                <w:sz w:val="16"/>
                <w:szCs w:val="16"/>
              </w:rPr>
            </w:pPr>
            <w:r>
              <w:rPr>
                <w:rFonts w:cs="Arial"/>
                <w:sz w:val="16"/>
                <w:szCs w:val="16"/>
              </w:rPr>
              <w:t>etc.</w:t>
            </w:r>
          </w:p>
        </w:tc>
        <w:tc>
          <w:tcPr>
            <w:tcW w:w="2081" w:type="dxa"/>
          </w:tcPr>
          <w:p w14:paraId="3807CAC4" w14:textId="77777777" w:rsidR="00E06937" w:rsidRPr="0028638A" w:rsidRDefault="00E06937" w:rsidP="00E06937">
            <w:pPr>
              <w:tabs>
                <w:tab w:val="left" w:pos="5384"/>
              </w:tabs>
              <w:spacing w:before="120" w:after="120"/>
              <w:jc w:val="center"/>
              <w:rPr>
                <w:rFonts w:cs="Arial"/>
                <w:sz w:val="16"/>
                <w:szCs w:val="16"/>
                <w:lang w:val="de-AT"/>
              </w:rPr>
            </w:pPr>
            <w:r w:rsidRPr="0028638A">
              <w:rPr>
                <w:rFonts w:cs="Arial"/>
                <w:sz w:val="16"/>
                <w:szCs w:val="16"/>
                <w:lang w:val="de-DE"/>
              </w:rPr>
              <w:t xml:space="preserve">Leader; Naturschutz; Dorferneuerung; </w:t>
            </w:r>
          </w:p>
          <w:p w14:paraId="01F5C2EE" w14:textId="27C86C4D" w:rsidR="00E06937" w:rsidRPr="008538CC" w:rsidRDefault="00E06937" w:rsidP="00E06937">
            <w:pPr>
              <w:tabs>
                <w:tab w:val="left" w:pos="5384"/>
              </w:tabs>
              <w:spacing w:before="120" w:after="120"/>
              <w:jc w:val="center"/>
              <w:rPr>
                <w:rFonts w:cs="Arial"/>
                <w:sz w:val="16"/>
                <w:szCs w:val="16"/>
                <w:lang w:val="de-AT"/>
              </w:rPr>
            </w:pPr>
            <w:r w:rsidRPr="0028638A">
              <w:rPr>
                <w:rFonts w:cs="Arial"/>
                <w:sz w:val="16"/>
                <w:szCs w:val="16"/>
                <w:lang w:val="de-DE"/>
              </w:rPr>
              <w:t>Ausnahmen der Gruppe 3 (M1, M16 etc.)</w:t>
            </w:r>
          </w:p>
        </w:tc>
      </w:tr>
      <w:tr w:rsidR="006A43E4" w:rsidRPr="00C44BC0" w14:paraId="317A8BA5" w14:textId="77777777" w:rsidTr="0012333B">
        <w:trPr>
          <w:trHeight w:val="454"/>
          <w:jc w:val="center"/>
        </w:trPr>
        <w:tc>
          <w:tcPr>
            <w:tcW w:w="1577" w:type="dxa"/>
            <w:shd w:val="clear" w:color="auto" w:fill="F7CAAC" w:themeFill="accent2" w:themeFillTint="66"/>
          </w:tcPr>
          <w:p w14:paraId="5F41C092" w14:textId="77777777" w:rsidR="00BA78D7" w:rsidRPr="00C44BC0" w:rsidRDefault="00BA78D7" w:rsidP="00BA78D7">
            <w:pPr>
              <w:spacing w:before="40"/>
              <w:jc w:val="left"/>
              <w:rPr>
                <w:rFonts w:cs="Arial"/>
                <w:b/>
                <w:sz w:val="16"/>
                <w:szCs w:val="16"/>
                <w:lang w:val="de-AT"/>
              </w:rPr>
            </w:pPr>
            <w:r w:rsidRPr="00C44BC0">
              <w:rPr>
                <w:rFonts w:cs="Arial"/>
                <w:b/>
                <w:sz w:val="16"/>
                <w:szCs w:val="16"/>
                <w:lang w:val="de-AT"/>
              </w:rPr>
              <w:t>Berücksichtigung der Einnahmen</w:t>
            </w:r>
          </w:p>
        </w:tc>
        <w:tc>
          <w:tcPr>
            <w:tcW w:w="1728" w:type="dxa"/>
          </w:tcPr>
          <w:p w14:paraId="78858B95" w14:textId="77777777" w:rsidR="00BA78D7" w:rsidRPr="00C44BC0" w:rsidRDefault="00BA78D7" w:rsidP="00BA78D7">
            <w:pPr>
              <w:spacing w:before="40"/>
              <w:jc w:val="center"/>
              <w:rPr>
                <w:rFonts w:cs="Arial"/>
                <w:sz w:val="16"/>
                <w:szCs w:val="16"/>
                <w:lang w:val="de-AT"/>
              </w:rPr>
            </w:pPr>
            <w:r w:rsidRPr="00C44BC0">
              <w:rPr>
                <w:rFonts w:cs="Arial"/>
                <w:b/>
                <w:sz w:val="16"/>
                <w:szCs w:val="16"/>
                <w:lang w:val="de-AT"/>
              </w:rPr>
              <w:t>Abzug der geschätzten NETTOEINNAHMEN von den anrechenbaren Kosten</w:t>
            </w:r>
          </w:p>
        </w:tc>
        <w:tc>
          <w:tcPr>
            <w:tcW w:w="1855" w:type="dxa"/>
          </w:tcPr>
          <w:p w14:paraId="3648DE92" w14:textId="77777777" w:rsidR="00BA78D7" w:rsidRPr="00C44BC0" w:rsidRDefault="00BA78D7" w:rsidP="00BA78D7">
            <w:pPr>
              <w:spacing w:before="40"/>
              <w:jc w:val="center"/>
              <w:rPr>
                <w:rFonts w:cs="Arial"/>
                <w:sz w:val="16"/>
                <w:szCs w:val="16"/>
                <w:lang w:val="de-AT"/>
              </w:rPr>
            </w:pPr>
            <w:r w:rsidRPr="00C44BC0">
              <w:rPr>
                <w:rFonts w:cs="Arial"/>
                <w:b/>
                <w:sz w:val="16"/>
                <w:szCs w:val="16"/>
                <w:lang w:val="de-AT"/>
              </w:rPr>
              <w:t>Abzug der geschätzten NETTOEINNAHMEN von den anrechenbaren Kosten</w:t>
            </w:r>
          </w:p>
        </w:tc>
        <w:tc>
          <w:tcPr>
            <w:tcW w:w="2065" w:type="dxa"/>
          </w:tcPr>
          <w:p w14:paraId="248F623B" w14:textId="77777777" w:rsidR="00BA78D7" w:rsidRPr="00C44BC0" w:rsidRDefault="00BA78D7" w:rsidP="00BA78D7">
            <w:pPr>
              <w:spacing w:before="40"/>
              <w:jc w:val="center"/>
              <w:rPr>
                <w:rFonts w:cs="Arial"/>
                <w:sz w:val="16"/>
                <w:szCs w:val="16"/>
                <w:lang w:val="de-AT"/>
              </w:rPr>
            </w:pPr>
            <w:r w:rsidRPr="00C44BC0">
              <w:rPr>
                <w:rFonts w:cs="Arial"/>
                <w:b/>
                <w:sz w:val="16"/>
                <w:szCs w:val="16"/>
                <w:lang w:val="de-AT"/>
              </w:rPr>
              <w:t xml:space="preserve">Keine Berücksichtigung </w:t>
            </w:r>
          </w:p>
        </w:tc>
        <w:tc>
          <w:tcPr>
            <w:tcW w:w="2081" w:type="dxa"/>
          </w:tcPr>
          <w:p w14:paraId="2BB82715" w14:textId="77777777" w:rsidR="00BA78D7" w:rsidRPr="00C44BC0" w:rsidRDefault="00BA78D7" w:rsidP="00BA78D7">
            <w:pPr>
              <w:tabs>
                <w:tab w:val="left" w:pos="5384"/>
              </w:tabs>
              <w:spacing w:before="120" w:after="120"/>
              <w:jc w:val="center"/>
              <w:rPr>
                <w:rFonts w:cs="Arial"/>
                <w:b/>
                <w:sz w:val="16"/>
                <w:szCs w:val="16"/>
                <w:lang w:val="de-AT"/>
              </w:rPr>
            </w:pPr>
            <w:r w:rsidRPr="00C44BC0">
              <w:rPr>
                <w:rFonts w:cs="Arial"/>
                <w:b/>
                <w:sz w:val="16"/>
                <w:szCs w:val="16"/>
                <w:lang w:val="de-AT"/>
              </w:rPr>
              <w:t xml:space="preserve">Summe aus Einnahmen und Förderbetrag beträgt max. die Gesamtkosten </w:t>
            </w:r>
          </w:p>
          <w:p w14:paraId="52C02C91" w14:textId="77777777" w:rsidR="00BA78D7" w:rsidRPr="00C44BC0" w:rsidRDefault="00BA78D7" w:rsidP="00BA78D7">
            <w:pPr>
              <w:spacing w:before="40"/>
              <w:jc w:val="center"/>
              <w:rPr>
                <w:rFonts w:cs="Arial"/>
                <w:sz w:val="16"/>
                <w:szCs w:val="16"/>
                <w:lang w:val="de-AT"/>
              </w:rPr>
            </w:pPr>
          </w:p>
        </w:tc>
      </w:tr>
    </w:tbl>
    <w:p w14:paraId="454C1208" w14:textId="77777777" w:rsidR="00B10BBA" w:rsidRPr="000D3262" w:rsidRDefault="00B10BBA" w:rsidP="00FC725B">
      <w:pPr>
        <w:rPr>
          <w:rFonts w:cs="Arial"/>
          <w:color w:val="000000" w:themeColor="text1"/>
          <w:szCs w:val="20"/>
        </w:rPr>
      </w:pPr>
    </w:p>
    <w:p w14:paraId="125C95A0" w14:textId="77777777" w:rsidR="000D3262" w:rsidRPr="000D3262" w:rsidRDefault="000D3262" w:rsidP="00BA78D7">
      <w:pPr>
        <w:pStyle w:val="Listenabsatz"/>
        <w:rPr>
          <w:rFonts w:cs="Arial"/>
          <w:color w:val="000000" w:themeColor="text1"/>
          <w:szCs w:val="20"/>
        </w:rPr>
      </w:pPr>
    </w:p>
    <w:p w14:paraId="04E4D101" w14:textId="77777777" w:rsidR="00BA78D7" w:rsidRDefault="00BA78D7">
      <w:pPr>
        <w:spacing w:after="160" w:line="259" w:lineRule="auto"/>
        <w:jc w:val="left"/>
        <w:rPr>
          <w:rFonts w:cs="Arial"/>
          <w:color w:val="000000" w:themeColor="text1"/>
          <w:szCs w:val="20"/>
        </w:rPr>
      </w:pPr>
      <w:r>
        <w:rPr>
          <w:rFonts w:cs="Arial"/>
          <w:color w:val="000000" w:themeColor="text1"/>
          <w:szCs w:val="20"/>
        </w:rPr>
        <w:br w:type="page"/>
      </w:r>
    </w:p>
    <w:p w14:paraId="5932B77A" w14:textId="77777777" w:rsidR="00B85242" w:rsidRPr="00880DB4" w:rsidRDefault="008F1D22" w:rsidP="00CF0E21">
      <w:pPr>
        <w:pStyle w:val="Listenabsatz"/>
        <w:numPr>
          <w:ilvl w:val="0"/>
          <w:numId w:val="16"/>
        </w:numPr>
        <w:ind w:left="0" w:firstLine="0"/>
        <w:jc w:val="left"/>
        <w:rPr>
          <w:rFonts w:cs="Arial"/>
          <w:b/>
          <w:sz w:val="22"/>
          <w:szCs w:val="20"/>
          <w:u w:val="single"/>
        </w:rPr>
      </w:pPr>
      <w:r w:rsidRPr="00880DB4">
        <w:rPr>
          <w:rFonts w:cs="Arial"/>
          <w:b/>
          <w:sz w:val="22"/>
          <w:szCs w:val="20"/>
          <w:u w:val="single"/>
        </w:rPr>
        <w:lastRenderedPageBreak/>
        <w:t xml:space="preserve">Beschreibung </w:t>
      </w:r>
      <w:r w:rsidR="00372A30" w:rsidRPr="00880DB4">
        <w:rPr>
          <w:rFonts w:cs="Arial"/>
          <w:b/>
          <w:sz w:val="22"/>
          <w:szCs w:val="20"/>
          <w:u w:val="single"/>
        </w:rPr>
        <w:t xml:space="preserve">der </w:t>
      </w:r>
      <w:r w:rsidRPr="00880DB4">
        <w:rPr>
          <w:rFonts w:cs="Arial"/>
          <w:b/>
          <w:sz w:val="22"/>
          <w:szCs w:val="20"/>
          <w:u w:val="single"/>
        </w:rPr>
        <w:t>Detailvorgaben der einzelnen Gruppen</w:t>
      </w:r>
    </w:p>
    <w:p w14:paraId="09B5B24B" w14:textId="77777777" w:rsidR="008F1D22" w:rsidRPr="008F1D22" w:rsidRDefault="008F1D22" w:rsidP="00FC725B">
      <w:pPr>
        <w:rPr>
          <w:rFonts w:cs="Arial"/>
          <w:b/>
          <w:szCs w:val="20"/>
        </w:rPr>
      </w:pPr>
    </w:p>
    <w:p w14:paraId="1A859B19" w14:textId="77777777" w:rsidR="00F712C1" w:rsidRPr="00880DB4" w:rsidRDefault="00844D27" w:rsidP="00880DB4">
      <w:pPr>
        <w:spacing w:before="120"/>
        <w:ind w:firstLine="284"/>
        <w:rPr>
          <w:rFonts w:cs="Arial"/>
          <w:b/>
          <w:szCs w:val="20"/>
        </w:rPr>
      </w:pPr>
      <w:r w:rsidRPr="00880DB4">
        <w:rPr>
          <w:rFonts w:cs="Arial"/>
          <w:b/>
          <w:szCs w:val="20"/>
        </w:rPr>
        <w:t>Gruppe 1:</w:t>
      </w:r>
      <w:r w:rsidR="00FC725B" w:rsidRPr="00880DB4">
        <w:rPr>
          <w:rFonts w:cs="Arial"/>
          <w:b/>
          <w:szCs w:val="20"/>
        </w:rPr>
        <w:t xml:space="preserve"> </w:t>
      </w:r>
    </w:p>
    <w:p w14:paraId="129BDC3C" w14:textId="77777777" w:rsidR="00FC725B" w:rsidRPr="00844D27" w:rsidRDefault="00FC725B" w:rsidP="00745680">
      <w:pPr>
        <w:pStyle w:val="Listenabsatz"/>
        <w:spacing w:before="120"/>
        <w:ind w:left="567"/>
        <w:rPr>
          <w:rFonts w:cs="Arial"/>
          <w:b/>
          <w:szCs w:val="20"/>
        </w:rPr>
      </w:pPr>
      <w:r w:rsidRPr="00844D27">
        <w:rPr>
          <w:rFonts w:cs="Arial"/>
          <w:b/>
          <w:szCs w:val="20"/>
        </w:rPr>
        <w:t xml:space="preserve">Vorhaben, die </w:t>
      </w:r>
      <w:r w:rsidR="006D1907" w:rsidRPr="00844D27">
        <w:rPr>
          <w:rFonts w:cs="Arial"/>
          <w:b/>
          <w:szCs w:val="20"/>
        </w:rPr>
        <w:t xml:space="preserve">gemäß Art. 61 Abs. 1 VO (EU) Nr. 1303/2013 </w:t>
      </w:r>
      <w:r w:rsidRPr="00844D27">
        <w:rPr>
          <w:rFonts w:cs="Arial"/>
          <w:b/>
          <w:szCs w:val="20"/>
        </w:rPr>
        <w:t>nach ihrer Durchführung Nettoeinnahmen erwirtschaften</w:t>
      </w:r>
      <w:r w:rsidR="006D1907" w:rsidRPr="00844D27">
        <w:rPr>
          <w:rFonts w:cs="Arial"/>
          <w:b/>
          <w:szCs w:val="20"/>
        </w:rPr>
        <w:t xml:space="preserve"> und die </w:t>
      </w:r>
      <w:r w:rsidR="00AB5BBD">
        <w:rPr>
          <w:rFonts w:cs="Arial"/>
          <w:b/>
          <w:szCs w:val="20"/>
        </w:rPr>
        <w:t xml:space="preserve">die erste Bedingung (anrechenbare Kosten &gt; € 1.000.000,00) und </w:t>
      </w:r>
      <w:r w:rsidR="00A3125F">
        <w:rPr>
          <w:rFonts w:cs="Arial"/>
          <w:b/>
          <w:szCs w:val="20"/>
        </w:rPr>
        <w:t xml:space="preserve">mindestens eine der </w:t>
      </w:r>
      <w:r w:rsidR="00AB5BBD">
        <w:rPr>
          <w:rFonts w:cs="Arial"/>
          <w:b/>
          <w:szCs w:val="20"/>
        </w:rPr>
        <w:t xml:space="preserve">darunter </w:t>
      </w:r>
      <w:r w:rsidR="006D1907" w:rsidRPr="00844D27">
        <w:rPr>
          <w:rFonts w:cs="Arial"/>
          <w:b/>
          <w:szCs w:val="20"/>
        </w:rPr>
        <w:t>folgende</w:t>
      </w:r>
      <w:r w:rsidR="00843AE1">
        <w:rPr>
          <w:rFonts w:cs="Arial"/>
          <w:b/>
          <w:szCs w:val="20"/>
        </w:rPr>
        <w:t>n</w:t>
      </w:r>
      <w:r w:rsidR="006D1907" w:rsidRPr="00844D27">
        <w:rPr>
          <w:rFonts w:cs="Arial"/>
          <w:b/>
          <w:szCs w:val="20"/>
        </w:rPr>
        <w:t xml:space="preserve"> </w:t>
      </w:r>
      <w:r w:rsidR="00525975">
        <w:rPr>
          <w:rFonts w:cs="Arial"/>
          <w:b/>
          <w:szCs w:val="20"/>
        </w:rPr>
        <w:t>für das LE-Programm relevante</w:t>
      </w:r>
      <w:r w:rsidR="00013D03">
        <w:rPr>
          <w:rFonts w:cs="Arial"/>
          <w:b/>
          <w:szCs w:val="20"/>
        </w:rPr>
        <w:t>n</w:t>
      </w:r>
      <w:r w:rsidR="00525975">
        <w:rPr>
          <w:rFonts w:cs="Arial"/>
          <w:b/>
          <w:szCs w:val="20"/>
        </w:rPr>
        <w:t xml:space="preserve"> </w:t>
      </w:r>
      <w:r w:rsidR="006D1907" w:rsidRPr="00844D27">
        <w:rPr>
          <w:rFonts w:cs="Arial"/>
          <w:b/>
          <w:szCs w:val="20"/>
        </w:rPr>
        <w:t>Bedin</w:t>
      </w:r>
      <w:r w:rsidR="00C94E73" w:rsidRPr="00844D27">
        <w:rPr>
          <w:rFonts w:cs="Arial"/>
          <w:b/>
          <w:szCs w:val="20"/>
        </w:rPr>
        <w:t>g</w:t>
      </w:r>
      <w:r w:rsidR="006D1907" w:rsidRPr="00844D27">
        <w:rPr>
          <w:rFonts w:cs="Arial"/>
          <w:b/>
          <w:szCs w:val="20"/>
        </w:rPr>
        <w:t>unge</w:t>
      </w:r>
      <w:r w:rsidR="00C94E73" w:rsidRPr="00844D27">
        <w:rPr>
          <w:rFonts w:cs="Arial"/>
          <w:b/>
          <w:szCs w:val="20"/>
        </w:rPr>
        <w:t>n erfüllen</w:t>
      </w:r>
      <w:r w:rsidRPr="00844D27">
        <w:rPr>
          <w:rFonts w:cs="Arial"/>
          <w:b/>
          <w:szCs w:val="20"/>
        </w:rPr>
        <w:t>:</w:t>
      </w:r>
    </w:p>
    <w:p w14:paraId="005CAE96" w14:textId="77777777" w:rsidR="00FC725B" w:rsidRDefault="00FC725B" w:rsidP="00A624C5">
      <w:pPr>
        <w:pStyle w:val="Listenabsatz"/>
        <w:numPr>
          <w:ilvl w:val="0"/>
          <w:numId w:val="7"/>
        </w:numPr>
        <w:ind w:left="1560" w:hanging="426"/>
        <w:rPr>
          <w:rFonts w:cs="Arial"/>
          <w:szCs w:val="20"/>
        </w:rPr>
      </w:pPr>
      <w:r w:rsidRPr="005221B3">
        <w:rPr>
          <w:rFonts w:cs="Arial"/>
          <w:szCs w:val="20"/>
        </w:rPr>
        <w:t xml:space="preserve">Die </w:t>
      </w:r>
      <w:r w:rsidR="00C94E73">
        <w:rPr>
          <w:rFonts w:cs="Arial"/>
          <w:szCs w:val="20"/>
        </w:rPr>
        <w:t xml:space="preserve">anrechenbaren Kosten </w:t>
      </w:r>
      <w:r w:rsidRPr="005221B3">
        <w:rPr>
          <w:rFonts w:cs="Arial"/>
          <w:szCs w:val="20"/>
        </w:rPr>
        <w:t>eines Vorhabens müssen vor Abzug der Nettoeinnahmen größer als € 1.000.000,</w:t>
      </w:r>
      <w:r w:rsidR="00C54948">
        <w:rPr>
          <w:rFonts w:cs="Arial"/>
          <w:szCs w:val="20"/>
        </w:rPr>
        <w:t>00</w:t>
      </w:r>
      <w:r w:rsidRPr="005221B3">
        <w:rPr>
          <w:rFonts w:cs="Arial"/>
          <w:szCs w:val="20"/>
        </w:rPr>
        <w:t xml:space="preserve"> sein</w:t>
      </w:r>
      <w:r w:rsidR="00AB4CF2">
        <w:rPr>
          <w:rFonts w:cs="Arial"/>
          <w:szCs w:val="20"/>
        </w:rPr>
        <w:t>. In Abhängigkeit</w:t>
      </w:r>
      <w:r w:rsidR="00CA6F5A">
        <w:rPr>
          <w:rFonts w:cs="Arial"/>
          <w:szCs w:val="20"/>
        </w:rPr>
        <w:t xml:space="preserve"> davon,</w:t>
      </w:r>
      <w:r w:rsidR="00AB4CF2">
        <w:rPr>
          <w:rFonts w:cs="Arial"/>
          <w:szCs w:val="20"/>
        </w:rPr>
        <w:t xml:space="preserve"> ob der Förderungswerber vorsteuerabzugsberechtigt ist oder nicht</w:t>
      </w:r>
      <w:r w:rsidR="00B952EF">
        <w:rPr>
          <w:rFonts w:cs="Arial"/>
          <w:szCs w:val="20"/>
        </w:rPr>
        <w:t>,</w:t>
      </w:r>
      <w:r w:rsidR="00AB4CF2">
        <w:rPr>
          <w:rFonts w:cs="Arial"/>
          <w:szCs w:val="20"/>
        </w:rPr>
        <w:t xml:space="preserve"> </w:t>
      </w:r>
      <w:r w:rsidR="00B952EF">
        <w:rPr>
          <w:rFonts w:cs="Arial"/>
          <w:szCs w:val="20"/>
        </w:rPr>
        <w:t>werden hierfür die</w:t>
      </w:r>
      <w:r w:rsidR="00AB4CF2">
        <w:rPr>
          <w:rFonts w:cs="Arial"/>
          <w:szCs w:val="20"/>
        </w:rPr>
        <w:t xml:space="preserve"> anrechenbaren Kosten inkl. oder exkl. UST</w:t>
      </w:r>
      <w:r w:rsidR="00B952EF">
        <w:rPr>
          <w:rFonts w:cs="Arial"/>
          <w:szCs w:val="20"/>
        </w:rPr>
        <w:t xml:space="preserve"> herangezogen</w:t>
      </w:r>
      <w:r w:rsidR="00AB4CF2">
        <w:rPr>
          <w:rFonts w:cs="Arial"/>
          <w:szCs w:val="20"/>
        </w:rPr>
        <w:t>.</w:t>
      </w:r>
      <w:r w:rsidRPr="005221B3">
        <w:rPr>
          <w:rFonts w:cs="Arial"/>
          <w:szCs w:val="20"/>
        </w:rPr>
        <w:t xml:space="preserve"> </w:t>
      </w:r>
    </w:p>
    <w:p w14:paraId="7EA25A39" w14:textId="77777777" w:rsidR="00AB5BBD" w:rsidRPr="005221B3" w:rsidRDefault="00AB5BBD" w:rsidP="00AB5BBD">
      <w:pPr>
        <w:pStyle w:val="Listenabsatz"/>
        <w:ind w:left="1560"/>
        <w:rPr>
          <w:rFonts w:cs="Arial"/>
          <w:szCs w:val="20"/>
        </w:rPr>
      </w:pPr>
    </w:p>
    <w:p w14:paraId="356C4395" w14:textId="77777777" w:rsidR="00FC725B" w:rsidRDefault="00FC725B" w:rsidP="00A624C5">
      <w:pPr>
        <w:pStyle w:val="Listenabsatz"/>
        <w:numPr>
          <w:ilvl w:val="0"/>
          <w:numId w:val="7"/>
        </w:numPr>
        <w:ind w:left="1560" w:hanging="426"/>
        <w:rPr>
          <w:rFonts w:cs="Arial"/>
          <w:szCs w:val="20"/>
        </w:rPr>
      </w:pPr>
      <w:r w:rsidRPr="005221B3">
        <w:rPr>
          <w:rFonts w:cs="Arial"/>
          <w:szCs w:val="20"/>
        </w:rPr>
        <w:t xml:space="preserve">Für das Vorhaben sind keine Beträge oder Fördersätze im Anhang </w:t>
      </w:r>
      <w:r w:rsidRPr="00C54948">
        <w:rPr>
          <w:rFonts w:cs="Arial"/>
          <w:szCs w:val="20"/>
        </w:rPr>
        <w:t>II</w:t>
      </w:r>
      <w:r w:rsidRPr="005221B3">
        <w:rPr>
          <w:rFonts w:cs="Arial"/>
          <w:szCs w:val="20"/>
        </w:rPr>
        <w:t xml:space="preserve"> der Verordnung (EU) Nr. 1305/2013 festgelegt (</w:t>
      </w:r>
      <w:r w:rsidR="00525975">
        <w:rPr>
          <w:rFonts w:cs="Arial"/>
          <w:szCs w:val="20"/>
        </w:rPr>
        <w:t xml:space="preserve">somit </w:t>
      </w:r>
      <w:r w:rsidRPr="005221B3">
        <w:rPr>
          <w:rFonts w:cs="Arial"/>
          <w:szCs w:val="20"/>
        </w:rPr>
        <w:t xml:space="preserve">kein Vorhaben </w:t>
      </w:r>
      <w:r w:rsidR="00B952EF">
        <w:rPr>
          <w:rFonts w:cs="Arial"/>
          <w:szCs w:val="20"/>
        </w:rPr>
        <w:t>bezüglich einer</w:t>
      </w:r>
      <w:r w:rsidRPr="005221B3">
        <w:rPr>
          <w:rFonts w:cs="Arial"/>
          <w:szCs w:val="20"/>
        </w:rPr>
        <w:t xml:space="preserve"> LE-Maßnahme</w:t>
      </w:r>
      <w:r w:rsidR="00B952EF">
        <w:rPr>
          <w:rFonts w:cs="Arial"/>
          <w:szCs w:val="20"/>
        </w:rPr>
        <w:t xml:space="preserve"> aus dem Agrarsektor</w:t>
      </w:r>
      <w:r w:rsidRPr="005221B3">
        <w:rPr>
          <w:rFonts w:cs="Arial"/>
          <w:szCs w:val="20"/>
        </w:rPr>
        <w:t>).</w:t>
      </w:r>
    </w:p>
    <w:p w14:paraId="15696B32" w14:textId="77777777" w:rsidR="00FC725B" w:rsidRDefault="00FC725B" w:rsidP="00A624C5">
      <w:pPr>
        <w:pStyle w:val="Listenabsatz"/>
        <w:numPr>
          <w:ilvl w:val="0"/>
          <w:numId w:val="7"/>
        </w:numPr>
        <w:ind w:left="1560" w:hanging="426"/>
        <w:rPr>
          <w:rFonts w:cs="Arial"/>
          <w:szCs w:val="20"/>
        </w:rPr>
      </w:pPr>
      <w:r w:rsidRPr="005221B3">
        <w:rPr>
          <w:rFonts w:cs="Arial"/>
          <w:szCs w:val="20"/>
        </w:rPr>
        <w:t xml:space="preserve">Das Vorhaben fällt nicht unter die </w:t>
      </w:r>
      <w:r w:rsidR="00C755AD">
        <w:rPr>
          <w:rFonts w:cs="Arial"/>
          <w:szCs w:val="20"/>
        </w:rPr>
        <w:t>Vorhabensart</w:t>
      </w:r>
      <w:r w:rsidR="00C755AD" w:rsidRPr="005221B3">
        <w:rPr>
          <w:rFonts w:cs="Arial"/>
          <w:szCs w:val="20"/>
        </w:rPr>
        <w:t xml:space="preserve"> </w:t>
      </w:r>
      <w:r w:rsidR="00C755AD">
        <w:rPr>
          <w:rFonts w:cs="Arial"/>
          <w:szCs w:val="20"/>
        </w:rPr>
        <w:t>„</w:t>
      </w:r>
      <w:r w:rsidRPr="005221B3">
        <w:rPr>
          <w:rFonts w:cs="Arial"/>
          <w:szCs w:val="20"/>
        </w:rPr>
        <w:t>Technische Hilfe</w:t>
      </w:r>
      <w:r w:rsidR="00C755AD">
        <w:rPr>
          <w:rFonts w:cs="Arial"/>
          <w:szCs w:val="20"/>
        </w:rPr>
        <w:t>“</w:t>
      </w:r>
      <w:r w:rsidRPr="005221B3">
        <w:rPr>
          <w:rFonts w:cs="Arial"/>
          <w:szCs w:val="20"/>
        </w:rPr>
        <w:t xml:space="preserve">. </w:t>
      </w:r>
    </w:p>
    <w:p w14:paraId="08421C42" w14:textId="77777777" w:rsidR="00FC725B" w:rsidRPr="005221B3" w:rsidRDefault="00FC725B" w:rsidP="00A624C5">
      <w:pPr>
        <w:pStyle w:val="Listenabsatz"/>
        <w:numPr>
          <w:ilvl w:val="0"/>
          <w:numId w:val="7"/>
        </w:numPr>
        <w:ind w:left="1560" w:hanging="426"/>
        <w:rPr>
          <w:rFonts w:cs="Arial"/>
          <w:szCs w:val="20"/>
        </w:rPr>
      </w:pPr>
      <w:r w:rsidRPr="005221B3">
        <w:rPr>
          <w:rFonts w:cs="Arial"/>
          <w:szCs w:val="20"/>
        </w:rPr>
        <w:t>Die Förderung des Vorhabens erfolgt nicht auf Basis von vereinfachten Kostenoptionen</w:t>
      </w:r>
      <w:r w:rsidR="00077406">
        <w:rPr>
          <w:rFonts w:cs="Arial"/>
          <w:szCs w:val="20"/>
        </w:rPr>
        <w:t xml:space="preserve"> (VKO)</w:t>
      </w:r>
      <w:r w:rsidRPr="005221B3">
        <w:rPr>
          <w:rFonts w:cs="Arial"/>
          <w:szCs w:val="20"/>
        </w:rPr>
        <w:t>.</w:t>
      </w:r>
      <w:r w:rsidR="00745680">
        <w:rPr>
          <w:rFonts w:cs="Arial"/>
          <w:szCs w:val="20"/>
        </w:rPr>
        <w:t xml:space="preserve"> (Diese </w:t>
      </w:r>
      <w:r w:rsidR="00A3125F">
        <w:rPr>
          <w:rFonts w:cs="Arial"/>
          <w:szCs w:val="20"/>
        </w:rPr>
        <w:t xml:space="preserve">Bedingung </w:t>
      </w:r>
      <w:r w:rsidR="00745680">
        <w:rPr>
          <w:rFonts w:cs="Arial"/>
          <w:szCs w:val="20"/>
        </w:rPr>
        <w:t xml:space="preserve">gilt, sofern bei der Berechnung der VKO bereits die Einnahmen berücksichtigt wurden. Dies trifft für die </w:t>
      </w:r>
      <w:r w:rsidR="003E3E74">
        <w:rPr>
          <w:rFonts w:cs="Arial"/>
          <w:szCs w:val="20"/>
        </w:rPr>
        <w:t>Anwendung der Personalkosten auf Basis von standardisierten Einheitskosten nicht zu.)</w:t>
      </w:r>
    </w:p>
    <w:p w14:paraId="6B42C134" w14:textId="77777777" w:rsidR="00FC725B" w:rsidRPr="005221B3" w:rsidRDefault="00FC725B" w:rsidP="00A624C5">
      <w:pPr>
        <w:pStyle w:val="Listenabsatz"/>
        <w:numPr>
          <w:ilvl w:val="0"/>
          <w:numId w:val="7"/>
        </w:numPr>
        <w:ind w:left="1560" w:hanging="426"/>
        <w:rPr>
          <w:rFonts w:cs="Arial"/>
          <w:szCs w:val="20"/>
        </w:rPr>
      </w:pPr>
      <w:r>
        <w:rPr>
          <w:rFonts w:cs="Arial"/>
          <w:szCs w:val="20"/>
        </w:rPr>
        <w:t>Die Förderung des Vorhabe</w:t>
      </w:r>
      <w:r w:rsidR="00B91DCF">
        <w:rPr>
          <w:rFonts w:cs="Arial"/>
          <w:szCs w:val="20"/>
        </w:rPr>
        <w:t>n</w:t>
      </w:r>
      <w:r>
        <w:rPr>
          <w:rFonts w:cs="Arial"/>
          <w:szCs w:val="20"/>
        </w:rPr>
        <w:t>s</w:t>
      </w:r>
      <w:r w:rsidRPr="005221B3">
        <w:rPr>
          <w:rFonts w:cs="Arial"/>
          <w:szCs w:val="20"/>
        </w:rPr>
        <w:t xml:space="preserve"> wird nicht auf Basis </w:t>
      </w:r>
      <w:r w:rsidR="00285083">
        <w:rPr>
          <w:rFonts w:cs="Arial"/>
          <w:szCs w:val="20"/>
        </w:rPr>
        <w:t xml:space="preserve">einer der </w:t>
      </w:r>
      <w:r w:rsidRPr="005221B3">
        <w:rPr>
          <w:rFonts w:cs="Arial"/>
          <w:szCs w:val="20"/>
        </w:rPr>
        <w:t>nachfolgende</w:t>
      </w:r>
      <w:r w:rsidR="00285083">
        <w:rPr>
          <w:rFonts w:cs="Arial"/>
          <w:szCs w:val="20"/>
        </w:rPr>
        <w:t>n</w:t>
      </w:r>
      <w:r w:rsidRPr="005221B3">
        <w:rPr>
          <w:rFonts w:cs="Arial"/>
          <w:szCs w:val="20"/>
        </w:rPr>
        <w:t xml:space="preserve"> Beihilfegrundlagen gewährt: </w:t>
      </w:r>
    </w:p>
    <w:p w14:paraId="7AFACEB0" w14:textId="77777777" w:rsidR="00FC725B" w:rsidRPr="005221B3" w:rsidRDefault="00FC725B" w:rsidP="00A624C5">
      <w:pPr>
        <w:pStyle w:val="Listenabsatz"/>
        <w:numPr>
          <w:ilvl w:val="1"/>
          <w:numId w:val="6"/>
        </w:numPr>
        <w:ind w:left="1985"/>
        <w:rPr>
          <w:rFonts w:cs="Arial"/>
          <w:szCs w:val="20"/>
        </w:rPr>
      </w:pPr>
      <w:r w:rsidRPr="005221B3">
        <w:rPr>
          <w:rFonts w:cs="Arial"/>
          <w:szCs w:val="20"/>
        </w:rPr>
        <w:t>De-minimis oder</w:t>
      </w:r>
    </w:p>
    <w:p w14:paraId="02D83E3C" w14:textId="77777777" w:rsidR="00FC725B" w:rsidRPr="005221B3" w:rsidRDefault="00FC725B" w:rsidP="00A624C5">
      <w:pPr>
        <w:pStyle w:val="Listenabsatz"/>
        <w:numPr>
          <w:ilvl w:val="1"/>
          <w:numId w:val="6"/>
        </w:numPr>
        <w:ind w:left="1985"/>
        <w:rPr>
          <w:rFonts w:cs="Arial"/>
          <w:szCs w:val="20"/>
        </w:rPr>
      </w:pPr>
      <w:r>
        <w:rPr>
          <w:rFonts w:cs="Arial"/>
          <w:szCs w:val="20"/>
        </w:rPr>
        <w:t>einer vereinbarten</w:t>
      </w:r>
      <w:r w:rsidRPr="005221B3">
        <w:rPr>
          <w:rFonts w:cs="Arial"/>
          <w:szCs w:val="20"/>
        </w:rPr>
        <w:t xml:space="preserve"> staatlichen Beihilfe für KMUs mit Begrenzung der Beihilfeintensität oder des Beihilfebetrages oder </w:t>
      </w:r>
    </w:p>
    <w:p w14:paraId="3CD846DC" w14:textId="77777777" w:rsidR="00FC725B" w:rsidRDefault="00FC725B" w:rsidP="00A624C5">
      <w:pPr>
        <w:pStyle w:val="Listenabsatz"/>
        <w:numPr>
          <w:ilvl w:val="1"/>
          <w:numId w:val="6"/>
        </w:numPr>
        <w:ind w:left="1985"/>
        <w:rPr>
          <w:rFonts w:cs="Arial"/>
          <w:szCs w:val="20"/>
        </w:rPr>
      </w:pPr>
      <w:r>
        <w:rPr>
          <w:rFonts w:cs="Arial"/>
          <w:szCs w:val="20"/>
        </w:rPr>
        <w:t>einer vereinbarten</w:t>
      </w:r>
      <w:r w:rsidRPr="005221B3">
        <w:rPr>
          <w:rFonts w:cs="Arial"/>
          <w:szCs w:val="20"/>
        </w:rPr>
        <w:t xml:space="preserve"> staatlichen Beihilfe mit Einzelprüfung des Finanzierungsbedarfes in Übereinstimmung mit den Vorschriften über die staatlichen Beihilfen.</w:t>
      </w:r>
    </w:p>
    <w:p w14:paraId="50232F34" w14:textId="77777777" w:rsidR="00FC725B" w:rsidRDefault="00FC725B" w:rsidP="00361B9A">
      <w:pPr>
        <w:pStyle w:val="Listenabsatz"/>
        <w:ind w:left="709"/>
        <w:rPr>
          <w:rFonts w:cs="Arial"/>
          <w:szCs w:val="20"/>
        </w:rPr>
      </w:pPr>
    </w:p>
    <w:p w14:paraId="70D6C118" w14:textId="77777777" w:rsidR="002D05D6" w:rsidRDefault="009D2A8C" w:rsidP="00A624C5">
      <w:pPr>
        <w:ind w:left="567"/>
        <w:rPr>
          <w:rFonts w:cs="Arial"/>
          <w:szCs w:val="20"/>
        </w:rPr>
      </w:pPr>
      <w:r>
        <w:rPr>
          <w:rFonts w:cs="Arial"/>
          <w:szCs w:val="20"/>
        </w:rPr>
        <w:t>Vorhaben gemäß</w:t>
      </w:r>
      <w:r w:rsidRPr="0049377E">
        <w:rPr>
          <w:rFonts w:cs="Arial"/>
          <w:szCs w:val="20"/>
        </w:rPr>
        <w:t xml:space="preserve"> Art. 61 Abs. 1 VO (EU) Nr. 1303/2013 </w:t>
      </w:r>
      <w:r>
        <w:rPr>
          <w:rFonts w:cs="Arial"/>
          <w:szCs w:val="20"/>
        </w:rPr>
        <w:t xml:space="preserve">sind </w:t>
      </w:r>
      <w:r w:rsidR="0049377E">
        <w:rPr>
          <w:rFonts w:cs="Arial"/>
          <w:szCs w:val="20"/>
        </w:rPr>
        <w:t xml:space="preserve">vor allem </w:t>
      </w:r>
      <w:r>
        <w:rPr>
          <w:rFonts w:cs="Arial"/>
          <w:szCs w:val="20"/>
        </w:rPr>
        <w:t xml:space="preserve">in den </w:t>
      </w:r>
      <w:r w:rsidR="0049377E">
        <w:rPr>
          <w:rFonts w:cs="Arial"/>
          <w:szCs w:val="20"/>
        </w:rPr>
        <w:t>VHA</w:t>
      </w:r>
      <w:r w:rsidR="001D7BF4">
        <w:rPr>
          <w:rFonts w:cs="Arial"/>
          <w:szCs w:val="20"/>
        </w:rPr>
        <w:t>en</w:t>
      </w:r>
      <w:r w:rsidR="0049377E">
        <w:rPr>
          <w:rFonts w:cs="Arial"/>
          <w:szCs w:val="20"/>
        </w:rPr>
        <w:t xml:space="preserve"> Leader, Naturschutz und Dorferneuerung </w:t>
      </w:r>
      <w:r>
        <w:rPr>
          <w:rFonts w:cs="Arial"/>
          <w:szCs w:val="20"/>
        </w:rPr>
        <w:t>zu erwarten</w:t>
      </w:r>
      <w:r w:rsidR="0049377E">
        <w:rPr>
          <w:rFonts w:cs="Arial"/>
          <w:szCs w:val="20"/>
        </w:rPr>
        <w:t xml:space="preserve">, da gemäß </w:t>
      </w:r>
      <w:r w:rsidR="001D7BF4">
        <w:rPr>
          <w:rFonts w:cs="Arial"/>
          <w:szCs w:val="20"/>
        </w:rPr>
        <w:t>den Richtlinien in diesen</w:t>
      </w:r>
      <w:r w:rsidR="0049377E">
        <w:rPr>
          <w:rFonts w:cs="Arial"/>
          <w:szCs w:val="20"/>
        </w:rPr>
        <w:t xml:space="preserve"> VHA</w:t>
      </w:r>
      <w:r w:rsidR="001D7BF4">
        <w:rPr>
          <w:rFonts w:cs="Arial"/>
          <w:szCs w:val="20"/>
        </w:rPr>
        <w:t>en</w:t>
      </w:r>
      <w:r w:rsidR="0049377E">
        <w:rPr>
          <w:rFonts w:cs="Arial"/>
          <w:szCs w:val="20"/>
        </w:rPr>
        <w:t xml:space="preserve"> nicht beihilferelevante</w:t>
      </w:r>
      <w:r w:rsidR="001D7BF4">
        <w:rPr>
          <w:rFonts w:cs="Arial"/>
          <w:szCs w:val="20"/>
        </w:rPr>
        <w:t>,</w:t>
      </w:r>
      <w:r w:rsidR="0049377E">
        <w:rPr>
          <w:rFonts w:cs="Arial"/>
          <w:szCs w:val="20"/>
        </w:rPr>
        <w:t xml:space="preserve"> investive Vorhaben mit anrechenbaren Kosten größer € 1.000.000,00 gefördert werden können. </w:t>
      </w:r>
    </w:p>
    <w:p w14:paraId="79BAA270" w14:textId="77777777" w:rsidR="00EE6635" w:rsidRDefault="00EE6635" w:rsidP="00A624C5">
      <w:pPr>
        <w:ind w:left="567"/>
        <w:rPr>
          <w:rFonts w:cs="Arial"/>
          <w:szCs w:val="20"/>
        </w:rPr>
      </w:pPr>
    </w:p>
    <w:p w14:paraId="07F6921C" w14:textId="77777777" w:rsidR="00F712C1" w:rsidRPr="00880DB4" w:rsidRDefault="00844D27" w:rsidP="00880DB4">
      <w:pPr>
        <w:spacing w:before="120"/>
        <w:ind w:firstLine="284"/>
        <w:rPr>
          <w:rFonts w:cs="Arial"/>
          <w:b/>
          <w:szCs w:val="20"/>
        </w:rPr>
      </w:pPr>
      <w:r w:rsidRPr="00880DB4">
        <w:rPr>
          <w:rFonts w:cs="Arial"/>
          <w:b/>
          <w:szCs w:val="20"/>
        </w:rPr>
        <w:t>Gruppe 2:</w:t>
      </w:r>
      <w:r w:rsidR="00CC3237" w:rsidRPr="00880DB4">
        <w:rPr>
          <w:rFonts w:cs="Arial"/>
          <w:b/>
          <w:szCs w:val="20"/>
        </w:rPr>
        <w:t xml:space="preserve"> </w:t>
      </w:r>
    </w:p>
    <w:p w14:paraId="194FF38C" w14:textId="77777777" w:rsidR="00CC3237" w:rsidRDefault="00CC3237" w:rsidP="00F712C1">
      <w:pPr>
        <w:pStyle w:val="Listenabsatz"/>
        <w:spacing w:before="120"/>
        <w:ind w:left="567"/>
        <w:rPr>
          <w:rFonts w:cs="Arial"/>
          <w:b/>
          <w:szCs w:val="20"/>
        </w:rPr>
      </w:pPr>
      <w:r w:rsidRPr="00844D27">
        <w:rPr>
          <w:rFonts w:cs="Arial"/>
          <w:b/>
          <w:szCs w:val="20"/>
        </w:rPr>
        <w:t>Vorhaben, die gemäß Art. 65 Abs. 8 VO 1303/2013 während ihrer Durchführung Nettoeinnahmen erwirtschaften</w:t>
      </w:r>
      <w:r w:rsidR="00105D43" w:rsidRPr="00844D27">
        <w:rPr>
          <w:rFonts w:cs="Arial"/>
          <w:b/>
          <w:szCs w:val="20"/>
        </w:rPr>
        <w:t xml:space="preserve"> und auf die Art. 61 Abs. 1 bis 6 VO (EU) Nr. 1303/2013 keine Anwendung finden </w:t>
      </w:r>
      <w:r w:rsidR="00445321" w:rsidRPr="00844D27">
        <w:rPr>
          <w:rFonts w:cs="Arial"/>
          <w:b/>
          <w:szCs w:val="20"/>
        </w:rPr>
        <w:t>und</w:t>
      </w:r>
      <w:r w:rsidRPr="00844D27">
        <w:rPr>
          <w:rFonts w:cs="Arial"/>
          <w:b/>
          <w:szCs w:val="20"/>
        </w:rPr>
        <w:t xml:space="preserve"> </w:t>
      </w:r>
      <w:r w:rsidR="00DE6D95" w:rsidRPr="00844D27">
        <w:rPr>
          <w:rFonts w:cs="Arial"/>
          <w:b/>
          <w:szCs w:val="20"/>
        </w:rPr>
        <w:t xml:space="preserve">die </w:t>
      </w:r>
      <w:r w:rsidR="00DE6D95">
        <w:rPr>
          <w:rFonts w:cs="Arial"/>
          <w:b/>
          <w:szCs w:val="20"/>
        </w:rPr>
        <w:t xml:space="preserve">die erste Bedingung (anrechenbare Kosten &gt; € 50.000,00) und mindestens eine der darunter </w:t>
      </w:r>
      <w:r w:rsidR="00DE6D95" w:rsidRPr="00844D27">
        <w:rPr>
          <w:rFonts w:cs="Arial"/>
          <w:b/>
          <w:szCs w:val="20"/>
        </w:rPr>
        <w:t>folgende</w:t>
      </w:r>
      <w:r w:rsidR="00DE6D95">
        <w:rPr>
          <w:rFonts w:cs="Arial"/>
          <w:b/>
          <w:szCs w:val="20"/>
        </w:rPr>
        <w:t>n</w:t>
      </w:r>
      <w:r w:rsidR="00DE6D95" w:rsidRPr="00844D27">
        <w:rPr>
          <w:rFonts w:cs="Arial"/>
          <w:b/>
          <w:szCs w:val="20"/>
        </w:rPr>
        <w:t xml:space="preserve"> </w:t>
      </w:r>
      <w:r w:rsidR="00DE6D95">
        <w:rPr>
          <w:rFonts w:cs="Arial"/>
          <w:b/>
          <w:szCs w:val="20"/>
        </w:rPr>
        <w:t xml:space="preserve">für das LE-Programm relevanten </w:t>
      </w:r>
      <w:r w:rsidR="00DE6D95" w:rsidRPr="00844D27">
        <w:rPr>
          <w:rFonts w:cs="Arial"/>
          <w:b/>
          <w:szCs w:val="20"/>
        </w:rPr>
        <w:t>Bedingungen erfüllen:</w:t>
      </w:r>
      <w:r>
        <w:rPr>
          <w:rFonts w:cs="Arial"/>
          <w:b/>
          <w:szCs w:val="20"/>
        </w:rPr>
        <w:t xml:space="preserve"> </w:t>
      </w:r>
    </w:p>
    <w:p w14:paraId="2B3EFE41" w14:textId="77777777" w:rsidR="00CC3237" w:rsidRPr="005221B3" w:rsidRDefault="00CC3237" w:rsidP="00A624C5">
      <w:pPr>
        <w:pStyle w:val="Listenabsatz"/>
        <w:numPr>
          <w:ilvl w:val="0"/>
          <w:numId w:val="7"/>
        </w:numPr>
        <w:ind w:left="1560" w:hanging="426"/>
        <w:rPr>
          <w:rFonts w:cs="Arial"/>
          <w:szCs w:val="20"/>
        </w:rPr>
      </w:pPr>
      <w:r w:rsidRPr="005221B3">
        <w:rPr>
          <w:rFonts w:cs="Arial"/>
          <w:szCs w:val="20"/>
        </w:rPr>
        <w:t xml:space="preserve">Die </w:t>
      </w:r>
      <w:r w:rsidR="00E659F7">
        <w:rPr>
          <w:rFonts w:cs="Arial"/>
          <w:szCs w:val="20"/>
        </w:rPr>
        <w:t xml:space="preserve">anrechenbaren Kosten </w:t>
      </w:r>
      <w:r w:rsidRPr="005221B3">
        <w:rPr>
          <w:rFonts w:cs="Arial"/>
          <w:szCs w:val="20"/>
        </w:rPr>
        <w:t>eines Vorhabens müssen vor Abzug der Nettoeinnahmen größer als € 50.000,</w:t>
      </w:r>
      <w:r w:rsidR="004517FD">
        <w:rPr>
          <w:rFonts w:cs="Arial"/>
          <w:szCs w:val="20"/>
        </w:rPr>
        <w:t xml:space="preserve">00 </w:t>
      </w:r>
      <w:r w:rsidRPr="005221B3">
        <w:rPr>
          <w:rFonts w:cs="Arial"/>
          <w:szCs w:val="20"/>
        </w:rPr>
        <w:t>sein.</w:t>
      </w:r>
      <w:r w:rsidR="00C93B57" w:rsidRPr="00C93B57">
        <w:rPr>
          <w:rFonts w:cs="Arial"/>
          <w:szCs w:val="20"/>
        </w:rPr>
        <w:t xml:space="preserve"> </w:t>
      </w:r>
      <w:r w:rsidR="00C93B57">
        <w:rPr>
          <w:rFonts w:cs="Arial"/>
          <w:szCs w:val="20"/>
        </w:rPr>
        <w:t>In Abhängigkeit davon, ob der Förderungswerber vorsteuerabzugsberechtigt ist oder nicht, werden hierfür die anrechenbaren Kosten inkl. oder exkl. UST herangezogen.</w:t>
      </w:r>
      <w:r w:rsidR="00C93B57" w:rsidRPr="005221B3">
        <w:rPr>
          <w:rFonts w:cs="Arial"/>
          <w:szCs w:val="20"/>
        </w:rPr>
        <w:t xml:space="preserve"> </w:t>
      </w:r>
      <w:r w:rsidRPr="005221B3">
        <w:rPr>
          <w:rFonts w:cs="Arial"/>
          <w:szCs w:val="20"/>
        </w:rPr>
        <w:t xml:space="preserve"> </w:t>
      </w:r>
    </w:p>
    <w:p w14:paraId="2AACC687" w14:textId="77777777" w:rsidR="00013D03" w:rsidRDefault="00CC3237" w:rsidP="00C33E28">
      <w:pPr>
        <w:pStyle w:val="Listenabsatz"/>
        <w:numPr>
          <w:ilvl w:val="0"/>
          <w:numId w:val="7"/>
        </w:numPr>
        <w:ind w:left="1560" w:hanging="426"/>
        <w:rPr>
          <w:rFonts w:cs="Arial"/>
          <w:szCs w:val="20"/>
        </w:rPr>
      </w:pPr>
      <w:r w:rsidRPr="00013D03">
        <w:rPr>
          <w:rFonts w:cs="Arial"/>
          <w:szCs w:val="20"/>
        </w:rPr>
        <w:t xml:space="preserve">Für das Vorhaben sind keine Beträge oder Fördersätze im Anhang II der Verordnung (EU) Nr. 1305/2013 festgelegt </w:t>
      </w:r>
      <w:r w:rsidR="00013D03" w:rsidRPr="005221B3">
        <w:rPr>
          <w:rFonts w:cs="Arial"/>
          <w:szCs w:val="20"/>
        </w:rPr>
        <w:t>(</w:t>
      </w:r>
      <w:r w:rsidR="00013D03">
        <w:rPr>
          <w:rFonts w:cs="Arial"/>
          <w:szCs w:val="20"/>
        </w:rPr>
        <w:t xml:space="preserve">somit </w:t>
      </w:r>
      <w:r w:rsidR="00013D03" w:rsidRPr="005221B3">
        <w:rPr>
          <w:rFonts w:cs="Arial"/>
          <w:szCs w:val="20"/>
        </w:rPr>
        <w:t xml:space="preserve">kein Vorhaben </w:t>
      </w:r>
      <w:r w:rsidR="00013D03">
        <w:rPr>
          <w:rFonts w:cs="Arial"/>
          <w:szCs w:val="20"/>
        </w:rPr>
        <w:t>bezüglich einer</w:t>
      </w:r>
      <w:r w:rsidR="00013D03" w:rsidRPr="005221B3">
        <w:rPr>
          <w:rFonts w:cs="Arial"/>
          <w:szCs w:val="20"/>
        </w:rPr>
        <w:t xml:space="preserve"> LE-Maßnahme</w:t>
      </w:r>
      <w:r w:rsidR="00013D03">
        <w:rPr>
          <w:rFonts w:cs="Arial"/>
          <w:szCs w:val="20"/>
        </w:rPr>
        <w:t xml:space="preserve"> aus dem Agrarsektor</w:t>
      </w:r>
      <w:r w:rsidR="00013D03" w:rsidRPr="005221B3">
        <w:rPr>
          <w:rFonts w:cs="Arial"/>
          <w:szCs w:val="20"/>
        </w:rPr>
        <w:t>).</w:t>
      </w:r>
    </w:p>
    <w:p w14:paraId="4148E463" w14:textId="77777777" w:rsidR="00CC3237" w:rsidRPr="00013D03" w:rsidRDefault="00CC3237" w:rsidP="00C33E28">
      <w:pPr>
        <w:pStyle w:val="Listenabsatz"/>
        <w:numPr>
          <w:ilvl w:val="0"/>
          <w:numId w:val="7"/>
        </w:numPr>
        <w:ind w:left="1560" w:hanging="426"/>
        <w:rPr>
          <w:rFonts w:cs="Arial"/>
          <w:szCs w:val="20"/>
        </w:rPr>
      </w:pPr>
      <w:r w:rsidRPr="00013D03">
        <w:rPr>
          <w:rFonts w:cs="Arial"/>
          <w:szCs w:val="20"/>
        </w:rPr>
        <w:lastRenderedPageBreak/>
        <w:t xml:space="preserve">Das Vorhaben fällt nicht unter die </w:t>
      </w:r>
      <w:r w:rsidR="00C755AD" w:rsidRPr="00013D03">
        <w:rPr>
          <w:rFonts w:cs="Arial"/>
          <w:szCs w:val="20"/>
        </w:rPr>
        <w:t>Vorhabensart „T</w:t>
      </w:r>
      <w:r w:rsidRPr="00013D03">
        <w:rPr>
          <w:rFonts w:cs="Arial"/>
          <w:szCs w:val="20"/>
        </w:rPr>
        <w:t>echnische Hilfe</w:t>
      </w:r>
      <w:r w:rsidR="00C755AD" w:rsidRPr="00013D03">
        <w:rPr>
          <w:rFonts w:cs="Arial"/>
          <w:szCs w:val="20"/>
        </w:rPr>
        <w:t>“</w:t>
      </w:r>
      <w:r w:rsidRPr="00013D03">
        <w:rPr>
          <w:rFonts w:cs="Arial"/>
          <w:szCs w:val="20"/>
        </w:rPr>
        <w:t xml:space="preserve">. </w:t>
      </w:r>
    </w:p>
    <w:p w14:paraId="246E7E69" w14:textId="77777777" w:rsidR="00CC3237" w:rsidRPr="005221B3" w:rsidRDefault="00CC3237" w:rsidP="00A624C5">
      <w:pPr>
        <w:pStyle w:val="Listenabsatz"/>
        <w:numPr>
          <w:ilvl w:val="0"/>
          <w:numId w:val="7"/>
        </w:numPr>
        <w:ind w:left="1560" w:hanging="426"/>
        <w:rPr>
          <w:rFonts w:cs="Arial"/>
          <w:szCs w:val="20"/>
        </w:rPr>
      </w:pPr>
      <w:r w:rsidRPr="005221B3">
        <w:rPr>
          <w:rFonts w:cs="Arial"/>
          <w:szCs w:val="20"/>
        </w:rPr>
        <w:t>Die Förderung des Vorhabens erfolgt nicht auf Basis von vereinfachten Kostenoptionen</w:t>
      </w:r>
      <w:r w:rsidR="003E3E74">
        <w:rPr>
          <w:rFonts w:cs="Arial"/>
          <w:szCs w:val="20"/>
        </w:rPr>
        <w:t>.</w:t>
      </w:r>
      <w:r w:rsidR="003E3E74" w:rsidRPr="003E3E74">
        <w:rPr>
          <w:rFonts w:cs="Arial"/>
          <w:szCs w:val="20"/>
        </w:rPr>
        <w:t xml:space="preserve"> </w:t>
      </w:r>
      <w:r w:rsidR="003E3E74">
        <w:rPr>
          <w:rFonts w:cs="Arial"/>
          <w:szCs w:val="20"/>
        </w:rPr>
        <w:t xml:space="preserve">(Diese </w:t>
      </w:r>
      <w:r w:rsidR="002345E4">
        <w:rPr>
          <w:rFonts w:cs="Arial"/>
          <w:szCs w:val="20"/>
        </w:rPr>
        <w:t xml:space="preserve">Bedingung </w:t>
      </w:r>
      <w:r w:rsidR="003E3E74">
        <w:rPr>
          <w:rFonts w:cs="Arial"/>
          <w:szCs w:val="20"/>
        </w:rPr>
        <w:t>gilt, sofern bei der Berechnung der VKO bereits die Einnahmen berücksichtigt wurden. Dies trifft für die Anwendung der Personalkosten auf Basis von standardisierten Einheitskosten nicht zu).</w:t>
      </w:r>
      <w:r w:rsidRPr="005221B3">
        <w:rPr>
          <w:rFonts w:cs="Arial"/>
          <w:szCs w:val="20"/>
        </w:rPr>
        <w:t xml:space="preserve"> </w:t>
      </w:r>
    </w:p>
    <w:p w14:paraId="3DF450D2" w14:textId="77777777" w:rsidR="00CC3237" w:rsidRDefault="00CC3237" w:rsidP="00A624C5">
      <w:pPr>
        <w:pStyle w:val="Listenabsatz"/>
        <w:numPr>
          <w:ilvl w:val="0"/>
          <w:numId w:val="7"/>
        </w:numPr>
        <w:ind w:left="1560" w:hanging="426"/>
        <w:rPr>
          <w:rFonts w:cs="Arial"/>
          <w:szCs w:val="20"/>
        </w:rPr>
      </w:pPr>
      <w:r w:rsidRPr="005221B3">
        <w:rPr>
          <w:rFonts w:cs="Arial"/>
          <w:szCs w:val="20"/>
        </w:rPr>
        <w:t xml:space="preserve">Das Vorhaben wird nicht auf Basis einer staatlichen Beihilferegelung gewährt (trifft auf alle Vorhaben zu, </w:t>
      </w:r>
      <w:r w:rsidR="004568BF">
        <w:rPr>
          <w:rFonts w:cs="Arial"/>
          <w:szCs w:val="20"/>
        </w:rPr>
        <w:t xml:space="preserve">bei denen in der </w:t>
      </w:r>
      <w:r w:rsidRPr="005221B3">
        <w:rPr>
          <w:rFonts w:cs="Arial"/>
          <w:szCs w:val="20"/>
        </w:rPr>
        <w:t>Checkliste Punkt 4.1 „Trifft nicht zu (nein)“, angekreuzt</w:t>
      </w:r>
      <w:r w:rsidR="004568BF">
        <w:rPr>
          <w:rFonts w:cs="Arial"/>
          <w:szCs w:val="20"/>
        </w:rPr>
        <w:t xml:space="preserve"> wird</w:t>
      </w:r>
      <w:r w:rsidRPr="005221B3">
        <w:rPr>
          <w:rFonts w:cs="Arial"/>
          <w:szCs w:val="20"/>
        </w:rPr>
        <w:t>).</w:t>
      </w:r>
    </w:p>
    <w:p w14:paraId="60CD577D" w14:textId="77777777" w:rsidR="002D05D6" w:rsidRPr="0025145F" w:rsidRDefault="002D05D6" w:rsidP="0025145F">
      <w:pPr>
        <w:rPr>
          <w:rFonts w:cs="Arial"/>
          <w:szCs w:val="20"/>
        </w:rPr>
      </w:pPr>
    </w:p>
    <w:p w14:paraId="40A23006" w14:textId="77777777" w:rsidR="00CC3237" w:rsidRDefault="00D86AA8" w:rsidP="00A624C5">
      <w:pPr>
        <w:ind w:left="567"/>
        <w:rPr>
          <w:rFonts w:cs="Arial"/>
          <w:szCs w:val="20"/>
        </w:rPr>
      </w:pPr>
      <w:r>
        <w:rPr>
          <w:rFonts w:cs="Arial"/>
          <w:szCs w:val="20"/>
        </w:rPr>
        <w:t>Es handelt sich um alle n</w:t>
      </w:r>
      <w:r w:rsidR="00F23CB4">
        <w:rPr>
          <w:rFonts w:cs="Arial"/>
          <w:szCs w:val="20"/>
        </w:rPr>
        <w:t>icht beihilferelevante</w:t>
      </w:r>
      <w:r>
        <w:rPr>
          <w:rFonts w:cs="Arial"/>
          <w:szCs w:val="20"/>
        </w:rPr>
        <w:t>n</w:t>
      </w:r>
      <w:r w:rsidR="00F23CB4">
        <w:rPr>
          <w:rFonts w:cs="Arial"/>
          <w:szCs w:val="20"/>
        </w:rPr>
        <w:t xml:space="preserve"> Sachkostenprojekte mit anrechenbaren Kosten größer € 50.000,00</w:t>
      </w:r>
      <w:r>
        <w:rPr>
          <w:rFonts w:cs="Arial"/>
          <w:szCs w:val="20"/>
        </w:rPr>
        <w:t xml:space="preserve">. Diese Gruppe </w:t>
      </w:r>
      <w:r w:rsidR="00230BB0">
        <w:rPr>
          <w:rFonts w:cs="Arial"/>
          <w:szCs w:val="20"/>
        </w:rPr>
        <w:t xml:space="preserve">an Vorhaben </w:t>
      </w:r>
      <w:r w:rsidR="00B70104">
        <w:rPr>
          <w:rFonts w:cs="Arial"/>
          <w:szCs w:val="20"/>
        </w:rPr>
        <w:t xml:space="preserve">betrifft </w:t>
      </w:r>
      <w:r w:rsidR="00C03C05">
        <w:rPr>
          <w:rFonts w:cs="Arial"/>
          <w:szCs w:val="20"/>
        </w:rPr>
        <w:t>ebenfalls vor allem</w:t>
      </w:r>
      <w:r w:rsidR="00B70104">
        <w:rPr>
          <w:rFonts w:cs="Arial"/>
          <w:szCs w:val="20"/>
        </w:rPr>
        <w:t xml:space="preserve"> wieder die </w:t>
      </w:r>
      <w:r w:rsidR="00F23CB4">
        <w:rPr>
          <w:rFonts w:cs="Arial"/>
          <w:szCs w:val="20"/>
        </w:rPr>
        <w:t>VHA</w:t>
      </w:r>
      <w:r w:rsidR="004568BF">
        <w:rPr>
          <w:rFonts w:cs="Arial"/>
          <w:szCs w:val="20"/>
        </w:rPr>
        <w:t>en</w:t>
      </w:r>
      <w:r w:rsidR="00F23CB4">
        <w:rPr>
          <w:rFonts w:cs="Arial"/>
          <w:szCs w:val="20"/>
        </w:rPr>
        <w:t xml:space="preserve"> Leader, Naturschutz und Dorferneuerung</w:t>
      </w:r>
      <w:r w:rsidR="00B70104">
        <w:rPr>
          <w:rFonts w:cs="Arial"/>
          <w:szCs w:val="20"/>
        </w:rPr>
        <w:t>.</w:t>
      </w:r>
    </w:p>
    <w:p w14:paraId="29193950" w14:textId="77777777" w:rsidR="00CC3237" w:rsidRDefault="00CC3237" w:rsidP="00F23CB4">
      <w:pPr>
        <w:rPr>
          <w:rFonts w:cs="Arial"/>
          <w:szCs w:val="20"/>
        </w:rPr>
      </w:pPr>
    </w:p>
    <w:p w14:paraId="47B87174" w14:textId="77777777" w:rsidR="0025145F" w:rsidRPr="00880DB4" w:rsidRDefault="005627A0" w:rsidP="00880DB4">
      <w:pPr>
        <w:spacing w:before="120"/>
        <w:ind w:firstLine="284"/>
        <w:rPr>
          <w:rFonts w:cs="Arial"/>
          <w:b/>
          <w:color w:val="000000" w:themeColor="text1"/>
          <w:szCs w:val="20"/>
        </w:rPr>
      </w:pPr>
      <w:r w:rsidRPr="00880DB4">
        <w:rPr>
          <w:rFonts w:cs="Arial"/>
          <w:b/>
          <w:color w:val="000000" w:themeColor="text1"/>
          <w:szCs w:val="20"/>
        </w:rPr>
        <w:t>Gruppe 3:</w:t>
      </w:r>
      <w:r w:rsidR="0026017C" w:rsidRPr="00880DB4">
        <w:rPr>
          <w:rFonts w:cs="Arial"/>
          <w:b/>
          <w:color w:val="000000" w:themeColor="text1"/>
          <w:szCs w:val="20"/>
        </w:rPr>
        <w:t xml:space="preserve"> </w:t>
      </w:r>
    </w:p>
    <w:p w14:paraId="09E53C3F" w14:textId="77777777" w:rsidR="003A1F07" w:rsidRPr="0025145F" w:rsidRDefault="0026017C" w:rsidP="0025145F">
      <w:pPr>
        <w:pStyle w:val="Listenabsatz"/>
        <w:spacing w:before="120"/>
        <w:ind w:left="567"/>
        <w:rPr>
          <w:rFonts w:cs="Arial"/>
          <w:b/>
          <w:color w:val="000000" w:themeColor="text1"/>
          <w:szCs w:val="20"/>
        </w:rPr>
      </w:pPr>
      <w:r w:rsidRPr="0025145F">
        <w:rPr>
          <w:rFonts w:cs="Arial"/>
          <w:b/>
          <w:color w:val="000000" w:themeColor="text1"/>
          <w:szCs w:val="20"/>
        </w:rPr>
        <w:t xml:space="preserve">Vorhaben, </w:t>
      </w:r>
      <w:r w:rsidR="002459F5" w:rsidRPr="0025145F">
        <w:rPr>
          <w:rFonts w:cs="Arial"/>
          <w:b/>
          <w:color w:val="000000" w:themeColor="text1"/>
          <w:szCs w:val="20"/>
        </w:rPr>
        <w:t>die zwar die Betragsgrenzen</w:t>
      </w:r>
      <w:r w:rsidR="0041339E">
        <w:rPr>
          <w:rFonts w:cs="Arial"/>
          <w:b/>
          <w:color w:val="000000" w:themeColor="text1"/>
          <w:szCs w:val="20"/>
        </w:rPr>
        <w:t xml:space="preserve"> für anrechenbare Kosten</w:t>
      </w:r>
      <w:r w:rsidR="002459F5" w:rsidRPr="0025145F">
        <w:rPr>
          <w:rFonts w:cs="Arial"/>
          <w:b/>
          <w:color w:val="000000" w:themeColor="text1"/>
          <w:szCs w:val="20"/>
        </w:rPr>
        <w:t xml:space="preserve"> </w:t>
      </w:r>
      <w:r w:rsidR="00E645BF" w:rsidRPr="0025145F">
        <w:rPr>
          <w:rFonts w:cs="Arial"/>
          <w:b/>
          <w:color w:val="000000" w:themeColor="text1"/>
          <w:szCs w:val="20"/>
        </w:rPr>
        <w:t xml:space="preserve">gemäß Art. 61 Abs. 8 lit. </w:t>
      </w:r>
      <w:r w:rsidR="002459F5" w:rsidRPr="0025145F">
        <w:rPr>
          <w:rFonts w:cs="Arial"/>
          <w:b/>
          <w:color w:val="000000" w:themeColor="text1"/>
          <w:szCs w:val="20"/>
        </w:rPr>
        <w:t>a</w:t>
      </w:r>
      <w:r w:rsidR="00E645BF" w:rsidRPr="0025145F">
        <w:rPr>
          <w:rFonts w:cs="Arial"/>
          <w:b/>
          <w:color w:val="000000" w:themeColor="text1"/>
          <w:szCs w:val="20"/>
        </w:rPr>
        <w:t xml:space="preserve"> – c </w:t>
      </w:r>
      <w:r w:rsidR="009A105E" w:rsidRPr="0025145F">
        <w:rPr>
          <w:rFonts w:cs="Arial"/>
          <w:b/>
          <w:color w:val="000000" w:themeColor="text1"/>
          <w:szCs w:val="20"/>
        </w:rPr>
        <w:t xml:space="preserve">bzw. </w:t>
      </w:r>
      <w:r w:rsidR="00E645BF" w:rsidRPr="0025145F">
        <w:rPr>
          <w:rFonts w:cs="Arial"/>
          <w:b/>
          <w:color w:val="000000" w:themeColor="text1"/>
          <w:szCs w:val="20"/>
        </w:rPr>
        <w:t xml:space="preserve">Art. 65 Abs. 8 lit. </w:t>
      </w:r>
      <w:r w:rsidR="00C755AD" w:rsidRPr="0025145F">
        <w:rPr>
          <w:rFonts w:cs="Arial"/>
          <w:b/>
          <w:color w:val="000000" w:themeColor="text1"/>
          <w:szCs w:val="20"/>
        </w:rPr>
        <w:t>e</w:t>
      </w:r>
      <w:r w:rsidR="00E645BF" w:rsidRPr="0025145F">
        <w:rPr>
          <w:rFonts w:cs="Arial"/>
          <w:b/>
          <w:color w:val="000000" w:themeColor="text1"/>
          <w:szCs w:val="20"/>
        </w:rPr>
        <w:t xml:space="preserve"> VO (EU) Nr. 1303/2013</w:t>
      </w:r>
      <w:r w:rsidR="002459F5" w:rsidRPr="0025145F">
        <w:rPr>
          <w:rFonts w:cs="Arial"/>
          <w:b/>
          <w:color w:val="000000" w:themeColor="text1"/>
          <w:szCs w:val="20"/>
        </w:rPr>
        <w:t xml:space="preserve"> erreichen</w:t>
      </w:r>
      <w:r w:rsidR="0041339E">
        <w:rPr>
          <w:rFonts w:cs="Arial"/>
          <w:b/>
          <w:color w:val="000000" w:themeColor="text1"/>
          <w:szCs w:val="20"/>
        </w:rPr>
        <w:t xml:space="preserve"> (Gruppen 1 und 2)</w:t>
      </w:r>
      <w:r w:rsidR="002459F5" w:rsidRPr="0025145F">
        <w:rPr>
          <w:rFonts w:cs="Arial"/>
          <w:b/>
          <w:color w:val="000000" w:themeColor="text1"/>
          <w:szCs w:val="20"/>
        </w:rPr>
        <w:t xml:space="preserve">, </w:t>
      </w:r>
      <w:r w:rsidR="0041339E">
        <w:rPr>
          <w:rFonts w:cs="Arial"/>
          <w:b/>
          <w:color w:val="000000" w:themeColor="text1"/>
          <w:szCs w:val="20"/>
        </w:rPr>
        <w:t xml:space="preserve">für die </w:t>
      </w:r>
      <w:r w:rsidR="002459F5" w:rsidRPr="0025145F">
        <w:rPr>
          <w:rFonts w:cs="Arial"/>
          <w:b/>
          <w:color w:val="000000" w:themeColor="text1"/>
          <w:szCs w:val="20"/>
        </w:rPr>
        <w:t>aber auf</w:t>
      </w:r>
      <w:r w:rsidR="0041339E">
        <w:rPr>
          <w:rFonts w:cs="Arial"/>
          <w:b/>
          <w:color w:val="000000" w:themeColor="text1"/>
          <w:szCs w:val="20"/>
        </w:rPr>
        <w:t xml:space="preserve"> G</w:t>
      </w:r>
      <w:r w:rsidR="002459F5" w:rsidRPr="0025145F">
        <w:rPr>
          <w:rFonts w:cs="Arial"/>
          <w:b/>
          <w:color w:val="000000" w:themeColor="text1"/>
          <w:szCs w:val="20"/>
        </w:rPr>
        <w:t xml:space="preserve">rund ihrer Beihilferelevanz </w:t>
      </w:r>
      <w:r w:rsidR="0041339E">
        <w:rPr>
          <w:rFonts w:cs="Arial"/>
          <w:b/>
          <w:color w:val="000000" w:themeColor="text1"/>
          <w:szCs w:val="20"/>
        </w:rPr>
        <w:t>diese Bestimmungen nicht gelten</w:t>
      </w:r>
      <w:r w:rsidR="002459F5" w:rsidRPr="0025145F">
        <w:rPr>
          <w:rFonts w:cs="Arial"/>
          <w:b/>
          <w:color w:val="000000" w:themeColor="text1"/>
          <w:szCs w:val="20"/>
        </w:rPr>
        <w:t>:</w:t>
      </w:r>
    </w:p>
    <w:p w14:paraId="3A44ECD7" w14:textId="77777777" w:rsidR="0025145F" w:rsidRPr="0025145F" w:rsidRDefault="0025145F" w:rsidP="0025145F">
      <w:pPr>
        <w:pStyle w:val="Listenabsatz"/>
        <w:spacing w:before="120"/>
        <w:ind w:left="567"/>
        <w:rPr>
          <w:rFonts w:cs="Arial"/>
          <w:b/>
          <w:color w:val="000000" w:themeColor="text1"/>
          <w:szCs w:val="20"/>
        </w:rPr>
      </w:pPr>
    </w:p>
    <w:p w14:paraId="013ED78A" w14:textId="77777777" w:rsidR="00E645BF" w:rsidRPr="00E645BF" w:rsidRDefault="00E645BF" w:rsidP="005627A0">
      <w:pPr>
        <w:ind w:firstLine="567"/>
        <w:rPr>
          <w:rFonts w:cs="Arial"/>
          <w:szCs w:val="20"/>
        </w:rPr>
      </w:pPr>
      <w:r w:rsidRPr="00E645BF">
        <w:rPr>
          <w:rFonts w:cs="Arial"/>
          <w:szCs w:val="20"/>
        </w:rPr>
        <w:t>Dies betrifft Vorhaben</w:t>
      </w:r>
      <w:r w:rsidR="005627A0">
        <w:rPr>
          <w:rFonts w:cs="Arial"/>
          <w:szCs w:val="20"/>
        </w:rPr>
        <w:t>,</w:t>
      </w:r>
      <w:r>
        <w:rPr>
          <w:rFonts w:cs="Arial"/>
          <w:szCs w:val="20"/>
        </w:rPr>
        <w:t xml:space="preserve"> die eine Förderung auf Basis folgender Rechtsgrundlagen erhalten</w:t>
      </w:r>
      <w:r w:rsidRPr="00E645BF">
        <w:rPr>
          <w:rFonts w:cs="Arial"/>
          <w:szCs w:val="20"/>
        </w:rPr>
        <w:t>:</w:t>
      </w:r>
    </w:p>
    <w:p w14:paraId="62DF7E08" w14:textId="77777777" w:rsidR="002459F5" w:rsidRDefault="002459F5" w:rsidP="005627A0">
      <w:pPr>
        <w:pStyle w:val="Listenabsatz"/>
        <w:numPr>
          <w:ilvl w:val="0"/>
          <w:numId w:val="7"/>
        </w:numPr>
        <w:ind w:left="1560" w:hanging="426"/>
        <w:rPr>
          <w:rFonts w:cs="Arial"/>
          <w:szCs w:val="20"/>
        </w:rPr>
      </w:pPr>
      <w:r>
        <w:rPr>
          <w:rFonts w:cs="Arial"/>
          <w:szCs w:val="20"/>
        </w:rPr>
        <w:t>Vorhaben in agrarischen LE-Maßnahmen, mit Festlegung der Förderb</w:t>
      </w:r>
      <w:r w:rsidRPr="005221B3">
        <w:rPr>
          <w:rFonts w:cs="Arial"/>
          <w:szCs w:val="20"/>
        </w:rPr>
        <w:t>eträge oder Fördersätze im Anhang II der Verordnung (EU) Nr. 1305/2013</w:t>
      </w:r>
    </w:p>
    <w:p w14:paraId="32F2DBE4" w14:textId="77777777" w:rsidR="003A1F07" w:rsidRPr="00E645BF" w:rsidRDefault="0026017C" w:rsidP="005627A0">
      <w:pPr>
        <w:pStyle w:val="Listenabsatz"/>
        <w:numPr>
          <w:ilvl w:val="0"/>
          <w:numId w:val="7"/>
        </w:numPr>
        <w:ind w:left="1560" w:hanging="426"/>
        <w:rPr>
          <w:rFonts w:cs="Arial"/>
          <w:szCs w:val="20"/>
        </w:rPr>
      </w:pPr>
      <w:r w:rsidRPr="00E645BF">
        <w:rPr>
          <w:rFonts w:cs="Arial"/>
          <w:szCs w:val="20"/>
        </w:rPr>
        <w:t>De-minimis Beihilfe</w:t>
      </w:r>
      <w:r w:rsidR="003A1F07" w:rsidRPr="00E645BF">
        <w:rPr>
          <w:rFonts w:cs="Arial"/>
          <w:szCs w:val="20"/>
        </w:rPr>
        <w:t xml:space="preserve"> </w:t>
      </w:r>
      <w:r w:rsidR="00FC2189">
        <w:rPr>
          <w:rFonts w:cs="Arial"/>
          <w:szCs w:val="20"/>
        </w:rPr>
        <w:t>(siehe</w:t>
      </w:r>
      <w:r w:rsidR="00FC2189" w:rsidRPr="00E645BF">
        <w:rPr>
          <w:rFonts w:cs="Arial"/>
          <w:szCs w:val="20"/>
        </w:rPr>
        <w:t xml:space="preserve"> Abs. 8 lit </w:t>
      </w:r>
      <w:r w:rsidR="00FC2189">
        <w:rPr>
          <w:rFonts w:cs="Arial"/>
          <w:szCs w:val="20"/>
        </w:rPr>
        <w:t>a</w:t>
      </w:r>
      <w:r w:rsidR="00FC2189" w:rsidRPr="00E645BF">
        <w:rPr>
          <w:rFonts w:cs="Arial"/>
          <w:szCs w:val="20"/>
        </w:rPr>
        <w:t xml:space="preserve"> Art. 61 VO 1303/2013</w:t>
      </w:r>
      <w:r w:rsidR="00FC2189">
        <w:rPr>
          <w:rFonts w:cs="Arial"/>
          <w:szCs w:val="20"/>
        </w:rPr>
        <w:t>)</w:t>
      </w:r>
    </w:p>
    <w:p w14:paraId="29EA76BF" w14:textId="77777777" w:rsidR="003A1F07" w:rsidRPr="00E645BF" w:rsidRDefault="003A1F07" w:rsidP="005627A0">
      <w:pPr>
        <w:pStyle w:val="Listenabsatz"/>
        <w:numPr>
          <w:ilvl w:val="0"/>
          <w:numId w:val="7"/>
        </w:numPr>
        <w:ind w:left="1560" w:hanging="426"/>
        <w:rPr>
          <w:rFonts w:cs="Arial"/>
          <w:szCs w:val="20"/>
        </w:rPr>
      </w:pPr>
      <w:r w:rsidRPr="00E645BF">
        <w:rPr>
          <w:rFonts w:cs="Arial"/>
          <w:szCs w:val="20"/>
        </w:rPr>
        <w:t xml:space="preserve">Beihilfe für KMU, bei denen die Beihilfenintensität oder der Beihilfebetrag begrenzt wird </w:t>
      </w:r>
      <w:r w:rsidR="00FC2189">
        <w:rPr>
          <w:rFonts w:cs="Arial"/>
          <w:szCs w:val="20"/>
        </w:rPr>
        <w:t>(siehe</w:t>
      </w:r>
      <w:r w:rsidR="00FC2189" w:rsidRPr="00E645BF">
        <w:rPr>
          <w:rFonts w:cs="Arial"/>
          <w:szCs w:val="20"/>
        </w:rPr>
        <w:t xml:space="preserve"> Abs. 8 lit </w:t>
      </w:r>
      <w:r w:rsidR="00FC2189">
        <w:rPr>
          <w:rFonts w:cs="Arial"/>
          <w:szCs w:val="20"/>
        </w:rPr>
        <w:t>b</w:t>
      </w:r>
      <w:r w:rsidR="00FC2189" w:rsidRPr="00E645BF">
        <w:rPr>
          <w:rFonts w:cs="Arial"/>
          <w:szCs w:val="20"/>
        </w:rPr>
        <w:t xml:space="preserve"> Art. 61 VO 1303/2013</w:t>
      </w:r>
      <w:r w:rsidR="00FC2189">
        <w:rPr>
          <w:rFonts w:cs="Arial"/>
          <w:szCs w:val="20"/>
        </w:rPr>
        <w:t>)</w:t>
      </w:r>
    </w:p>
    <w:p w14:paraId="22DA4AB7" w14:textId="77777777" w:rsidR="00B91DCF" w:rsidRDefault="003A1F07" w:rsidP="005627A0">
      <w:pPr>
        <w:pStyle w:val="Listenabsatz"/>
        <w:numPr>
          <w:ilvl w:val="0"/>
          <w:numId w:val="7"/>
        </w:numPr>
        <w:ind w:left="1560" w:hanging="426"/>
        <w:rPr>
          <w:rFonts w:cs="Arial"/>
          <w:szCs w:val="20"/>
        </w:rPr>
      </w:pPr>
      <w:r w:rsidRPr="00FC2189">
        <w:rPr>
          <w:rFonts w:cs="Arial"/>
          <w:szCs w:val="20"/>
        </w:rPr>
        <w:t xml:space="preserve">Einzelüberprüfung des Finanzierungsbedarfs </w:t>
      </w:r>
      <w:r w:rsidR="00FC2189" w:rsidRPr="00FC2189">
        <w:rPr>
          <w:rFonts w:cs="Arial"/>
          <w:szCs w:val="20"/>
        </w:rPr>
        <w:t xml:space="preserve">in Übereinstimmung mit den geltenden Vorschriften über staatliche Beihilfen (siehe </w:t>
      </w:r>
      <w:r w:rsidRPr="00FC2189">
        <w:rPr>
          <w:rFonts w:cs="Arial"/>
          <w:szCs w:val="20"/>
        </w:rPr>
        <w:t>Ab</w:t>
      </w:r>
      <w:r w:rsidR="00FC2189">
        <w:rPr>
          <w:rFonts w:cs="Arial"/>
          <w:szCs w:val="20"/>
        </w:rPr>
        <w:t>s. 8 lit c Art. 61 VO 1303/2013)</w:t>
      </w:r>
    </w:p>
    <w:p w14:paraId="2B711357" w14:textId="77777777" w:rsidR="00081DC7" w:rsidRPr="00081DC7" w:rsidRDefault="00081DC7" w:rsidP="00F7098D">
      <w:pPr>
        <w:ind w:left="567"/>
        <w:rPr>
          <w:rFonts w:cs="Arial"/>
          <w:szCs w:val="20"/>
        </w:rPr>
      </w:pPr>
      <w:r>
        <w:rPr>
          <w:rFonts w:cs="Arial"/>
          <w:szCs w:val="20"/>
        </w:rPr>
        <w:t>In diese Gruppe fallen</w:t>
      </w:r>
      <w:r w:rsidRPr="00081DC7">
        <w:rPr>
          <w:rFonts w:cs="Arial"/>
          <w:szCs w:val="20"/>
        </w:rPr>
        <w:t xml:space="preserve"> </w:t>
      </w:r>
      <w:r>
        <w:rPr>
          <w:rFonts w:cs="Arial"/>
          <w:szCs w:val="20"/>
        </w:rPr>
        <w:t xml:space="preserve">vor allem Vorhaben der </w:t>
      </w:r>
      <w:r w:rsidRPr="00081DC7">
        <w:rPr>
          <w:rFonts w:cs="Arial"/>
          <w:szCs w:val="20"/>
        </w:rPr>
        <w:t xml:space="preserve">VHAen </w:t>
      </w:r>
      <w:r>
        <w:rPr>
          <w:rFonts w:cs="Arial"/>
          <w:szCs w:val="20"/>
        </w:rPr>
        <w:t>M4, M6, M8 und LEADER (De minimis).</w:t>
      </w:r>
    </w:p>
    <w:p w14:paraId="2BFFC7AC" w14:textId="77777777" w:rsidR="00081DC7" w:rsidRPr="00FC2189" w:rsidRDefault="00081DC7" w:rsidP="00FC2189">
      <w:pPr>
        <w:rPr>
          <w:rFonts w:cs="Arial"/>
          <w:szCs w:val="20"/>
        </w:rPr>
      </w:pPr>
    </w:p>
    <w:p w14:paraId="0E9BEDE0" w14:textId="77777777" w:rsidR="0025145F" w:rsidRPr="00880DB4" w:rsidRDefault="005627A0" w:rsidP="00880DB4">
      <w:pPr>
        <w:spacing w:before="120"/>
        <w:ind w:firstLine="284"/>
        <w:rPr>
          <w:rFonts w:cs="Arial"/>
          <w:b/>
          <w:szCs w:val="20"/>
        </w:rPr>
      </w:pPr>
      <w:r w:rsidRPr="00880DB4">
        <w:rPr>
          <w:rFonts w:cs="Arial"/>
          <w:b/>
          <w:szCs w:val="20"/>
        </w:rPr>
        <w:t xml:space="preserve">Gruppe 4: </w:t>
      </w:r>
    </w:p>
    <w:p w14:paraId="0F015C6E" w14:textId="77777777" w:rsidR="00FC211D" w:rsidRDefault="009623B4" w:rsidP="0025145F">
      <w:pPr>
        <w:pStyle w:val="Listenabsatz"/>
        <w:spacing w:before="120"/>
        <w:ind w:left="567"/>
        <w:rPr>
          <w:rFonts w:cs="Arial"/>
          <w:b/>
          <w:szCs w:val="20"/>
        </w:rPr>
      </w:pPr>
      <w:r w:rsidRPr="009623B4">
        <w:rPr>
          <w:rFonts w:cs="Arial"/>
          <w:b/>
          <w:szCs w:val="20"/>
        </w:rPr>
        <w:t xml:space="preserve">Alle </w:t>
      </w:r>
      <w:r w:rsidR="00D86AA8" w:rsidRPr="009623B4">
        <w:rPr>
          <w:rFonts w:cs="Arial"/>
          <w:b/>
          <w:szCs w:val="20"/>
        </w:rPr>
        <w:t xml:space="preserve">Vorhaben, die </w:t>
      </w:r>
      <w:r w:rsidRPr="009623B4">
        <w:rPr>
          <w:rFonts w:cs="Arial"/>
          <w:b/>
          <w:szCs w:val="20"/>
        </w:rPr>
        <w:t xml:space="preserve">nicht unter die Gruppen </w:t>
      </w:r>
      <w:r w:rsidR="002459F5">
        <w:rPr>
          <w:rFonts w:cs="Arial"/>
          <w:b/>
          <w:szCs w:val="20"/>
        </w:rPr>
        <w:t>1 - 3</w:t>
      </w:r>
      <w:r w:rsidRPr="009623B4">
        <w:rPr>
          <w:rFonts w:cs="Arial"/>
          <w:b/>
          <w:szCs w:val="20"/>
        </w:rPr>
        <w:t xml:space="preserve"> fallen und ausschließlich den Vorgaben der nationalen Rechtsgrundlage (vgl. § 29 ARR 2014) unterliegen. </w:t>
      </w:r>
    </w:p>
    <w:p w14:paraId="4243A853" w14:textId="77777777" w:rsidR="0025145F" w:rsidRPr="009623B4" w:rsidRDefault="0025145F" w:rsidP="0025145F">
      <w:pPr>
        <w:pStyle w:val="Listenabsatz"/>
        <w:spacing w:before="120"/>
        <w:ind w:left="567"/>
        <w:rPr>
          <w:rFonts w:cs="Arial"/>
          <w:b/>
          <w:szCs w:val="20"/>
        </w:rPr>
      </w:pPr>
    </w:p>
    <w:p w14:paraId="389D531E" w14:textId="77777777" w:rsidR="00FC211D" w:rsidRPr="001D7384" w:rsidRDefault="00FC211D" w:rsidP="005627A0">
      <w:pPr>
        <w:ind w:left="567"/>
        <w:rPr>
          <w:rFonts w:cs="Arial"/>
          <w:szCs w:val="20"/>
        </w:rPr>
      </w:pPr>
      <w:r w:rsidRPr="001D7384">
        <w:rPr>
          <w:rFonts w:cs="Arial"/>
          <w:szCs w:val="20"/>
        </w:rPr>
        <w:t xml:space="preserve">Dies betrifft </w:t>
      </w:r>
      <w:r w:rsidR="005627A0">
        <w:rPr>
          <w:rFonts w:cs="Arial"/>
          <w:szCs w:val="20"/>
        </w:rPr>
        <w:t>alle nicht beihilferelevanten Vorhaben, die nicht in die Gruppe 1 und die Gruppe 2 fallen</w:t>
      </w:r>
      <w:r w:rsidR="00A85159">
        <w:rPr>
          <w:rFonts w:cs="Arial"/>
          <w:szCs w:val="20"/>
        </w:rPr>
        <w:t xml:space="preserve"> sowie alle Ausnahmefälle der Gruppe 3</w:t>
      </w:r>
      <w:r w:rsidR="005627A0">
        <w:rPr>
          <w:rFonts w:cs="Arial"/>
          <w:szCs w:val="20"/>
        </w:rPr>
        <w:t>. Das sind</w:t>
      </w:r>
      <w:r w:rsidRPr="001D7384">
        <w:rPr>
          <w:rFonts w:cs="Arial"/>
          <w:szCs w:val="20"/>
        </w:rPr>
        <w:t>, einzelne Vorhaben der VHA Dorferneuerung, Naturschutz, Leader</w:t>
      </w:r>
      <w:r w:rsidR="00A85159">
        <w:rPr>
          <w:rFonts w:cs="Arial"/>
          <w:szCs w:val="20"/>
        </w:rPr>
        <w:t>; M1 und M16,</w:t>
      </w:r>
      <w:r w:rsidRPr="001D7384">
        <w:rPr>
          <w:rFonts w:cs="Arial"/>
          <w:szCs w:val="20"/>
        </w:rPr>
        <w:t xml:space="preserve"> etc.</w:t>
      </w:r>
      <w:r w:rsidR="009623B4">
        <w:rPr>
          <w:rFonts w:cs="Arial"/>
          <w:szCs w:val="20"/>
        </w:rPr>
        <w:t xml:space="preserve"> mit anrechenbaren Kosten von max. € 50.000,00 bei Sachkosten bzw. anrechenbaren Kosten von max. € 1.000.000,00 bei Investitionen</w:t>
      </w:r>
      <w:r w:rsidR="00081DC7">
        <w:rPr>
          <w:rFonts w:cs="Arial"/>
          <w:szCs w:val="20"/>
        </w:rPr>
        <w:t xml:space="preserve"> </w:t>
      </w:r>
      <w:r w:rsidR="00F7098D">
        <w:rPr>
          <w:rFonts w:cs="Arial"/>
          <w:szCs w:val="20"/>
        </w:rPr>
        <w:t>sowie alle</w:t>
      </w:r>
      <w:r w:rsidR="00081DC7">
        <w:rPr>
          <w:rFonts w:cs="Arial"/>
          <w:szCs w:val="20"/>
        </w:rPr>
        <w:t xml:space="preserve"> beihilferelevante Ausnahmefälle</w:t>
      </w:r>
      <w:r w:rsidR="00A85159">
        <w:rPr>
          <w:rFonts w:cs="Arial"/>
          <w:szCs w:val="20"/>
        </w:rPr>
        <w:t xml:space="preserve"> der Gruppe 3</w:t>
      </w:r>
      <w:r w:rsidR="009202D5">
        <w:rPr>
          <w:rFonts w:cs="Arial"/>
          <w:szCs w:val="20"/>
        </w:rPr>
        <w:t xml:space="preserve"> </w:t>
      </w:r>
      <w:r w:rsidR="00081DC7">
        <w:rPr>
          <w:rFonts w:cs="Arial"/>
          <w:szCs w:val="20"/>
        </w:rPr>
        <w:t>(z.B</w:t>
      </w:r>
      <w:r w:rsidR="00A85159">
        <w:rPr>
          <w:rFonts w:cs="Arial"/>
          <w:szCs w:val="20"/>
        </w:rPr>
        <w:t>. Bildungsveranstaltungen bei denen Teilnahmegebühren eingehoben werden, Vorhaben bei denen Wanderkarten, Bücher, gedruckt und verkauft werden, etc.).</w:t>
      </w:r>
    </w:p>
    <w:p w14:paraId="068A6D02" w14:textId="77777777" w:rsidR="00FC2189" w:rsidRDefault="00FC2189" w:rsidP="00FC211D">
      <w:pPr>
        <w:rPr>
          <w:rFonts w:cs="Arial"/>
          <w:szCs w:val="20"/>
        </w:rPr>
      </w:pPr>
    </w:p>
    <w:p w14:paraId="0784A7AB" w14:textId="77777777" w:rsidR="009202D5" w:rsidRDefault="009202D5">
      <w:pPr>
        <w:spacing w:after="160" w:line="259" w:lineRule="auto"/>
        <w:jc w:val="left"/>
        <w:rPr>
          <w:rFonts w:cs="Arial"/>
          <w:szCs w:val="20"/>
        </w:rPr>
      </w:pPr>
      <w:r>
        <w:rPr>
          <w:rFonts w:cs="Arial"/>
          <w:szCs w:val="20"/>
        </w:rPr>
        <w:br w:type="page"/>
      </w:r>
    </w:p>
    <w:p w14:paraId="0720F89B" w14:textId="77777777" w:rsidR="00FC211D" w:rsidRPr="00880DB4" w:rsidRDefault="004517FD" w:rsidP="00E477D1">
      <w:pPr>
        <w:pStyle w:val="Listenabsatz"/>
        <w:numPr>
          <w:ilvl w:val="0"/>
          <w:numId w:val="16"/>
        </w:numPr>
        <w:ind w:left="0" w:firstLine="0"/>
        <w:jc w:val="left"/>
        <w:rPr>
          <w:rFonts w:cs="Arial"/>
          <w:b/>
          <w:sz w:val="22"/>
          <w:szCs w:val="20"/>
          <w:u w:val="single"/>
        </w:rPr>
      </w:pPr>
      <w:r w:rsidRPr="00880DB4">
        <w:rPr>
          <w:rFonts w:cs="Arial"/>
          <w:b/>
          <w:sz w:val="22"/>
          <w:szCs w:val="20"/>
          <w:u w:val="single"/>
        </w:rPr>
        <w:lastRenderedPageBreak/>
        <w:t>Vorgaben zur Berücksichtigung von Nettoeinnahmen</w:t>
      </w:r>
      <w:r w:rsidR="00230CB2" w:rsidRPr="00880DB4">
        <w:rPr>
          <w:rFonts w:cs="Arial"/>
          <w:b/>
          <w:sz w:val="22"/>
          <w:szCs w:val="20"/>
          <w:u w:val="single"/>
        </w:rPr>
        <w:t xml:space="preserve"> </w:t>
      </w:r>
      <w:r w:rsidR="00823FFA" w:rsidRPr="00880DB4">
        <w:rPr>
          <w:rFonts w:cs="Arial"/>
          <w:b/>
          <w:sz w:val="22"/>
          <w:szCs w:val="20"/>
          <w:u w:val="single"/>
        </w:rPr>
        <w:t>für die einzelnen Gruppen</w:t>
      </w:r>
    </w:p>
    <w:p w14:paraId="16EE0F9A" w14:textId="77777777" w:rsidR="000C2BDC" w:rsidRDefault="000C2BDC" w:rsidP="00823FFA">
      <w:pPr>
        <w:rPr>
          <w:rFonts w:cs="Arial"/>
          <w:b/>
          <w:szCs w:val="20"/>
        </w:rPr>
      </w:pPr>
    </w:p>
    <w:p w14:paraId="45D950C0" w14:textId="77777777" w:rsidR="00B91DCF" w:rsidRDefault="00DC5F0E" w:rsidP="00823FFA">
      <w:pPr>
        <w:rPr>
          <w:rFonts w:cs="Arial"/>
          <w:b/>
          <w:szCs w:val="20"/>
        </w:rPr>
      </w:pPr>
      <w:r>
        <w:rPr>
          <w:rFonts w:cs="Arial"/>
          <w:b/>
          <w:szCs w:val="20"/>
        </w:rPr>
        <w:t>Definition Nettoeinnahmen</w:t>
      </w:r>
    </w:p>
    <w:p w14:paraId="3CFBAC5E" w14:textId="77777777" w:rsidR="0074016C" w:rsidRDefault="0074016C" w:rsidP="0074016C">
      <w:pPr>
        <w:rPr>
          <w:rFonts w:cs="Arial"/>
          <w:szCs w:val="20"/>
        </w:rPr>
      </w:pPr>
      <w:r w:rsidRPr="00DC5F0E">
        <w:rPr>
          <w:rFonts w:cs="Arial"/>
          <w:szCs w:val="20"/>
        </w:rPr>
        <w:t xml:space="preserve">Nettoeinnahmen </w:t>
      </w:r>
      <w:r w:rsidRPr="001E6599">
        <w:rPr>
          <w:rFonts w:cs="Arial"/>
          <w:szCs w:val="20"/>
        </w:rPr>
        <w:t xml:space="preserve">sind gemäß Art. 61 Abs. 1 VO (EU) Nr. 1303/2013 Zuflüsse von Geldbeträgen, die unmittelbar von den Nutzern für die im Rahmen des Vorhabens bereitgestellten Waren und Dienstleistungen gezahlt werden, wie beispielsweise Gebühren, die unmittelbar von den Nutzern für die Benutzung der Infrastruktur, den Verkauf oder die Verpachtung/Vermietung von Grundstücken oder von Gebäuden entrichtet werden oder Zahlungen für Dienstleistungen, abzüglich der im entsprechenden Zeitraum angefallenen Betriebskosten und Wiederbeschaffungskosten für kurzlebige Anlagegüter. Im Rahmen des Vorhabens erwirtschaftete Einsparungen bei den Betriebskosten werden als Nettoeinnahmen behandelt, es sei denn, sie werden durch eine entsprechende Kürzung der Betriebsbeihilfen ausgeglichen. </w:t>
      </w:r>
    </w:p>
    <w:p w14:paraId="1E106B17" w14:textId="77777777" w:rsidR="00122BEC" w:rsidRDefault="00122BEC" w:rsidP="00122BEC">
      <w:pPr>
        <w:rPr>
          <w:rFonts w:cs="Arial"/>
          <w:szCs w:val="20"/>
        </w:rPr>
      </w:pPr>
    </w:p>
    <w:p w14:paraId="76E91C22" w14:textId="77777777" w:rsidR="00122BEC" w:rsidRDefault="00122BEC" w:rsidP="00122BEC">
      <w:pPr>
        <w:rPr>
          <w:rFonts w:cs="Arial"/>
          <w:szCs w:val="20"/>
        </w:rPr>
      </w:pPr>
      <w:r w:rsidRPr="001E6599">
        <w:rPr>
          <w:rFonts w:cs="Arial"/>
          <w:szCs w:val="20"/>
        </w:rPr>
        <w:t xml:space="preserve">Wird nur ein Teil der Gesamtinvestitionskosten gefördert, so werden die Nettoeinnahmen anteilmäßig den </w:t>
      </w:r>
      <w:r w:rsidR="00913BB7">
        <w:rPr>
          <w:rFonts w:cs="Arial"/>
          <w:szCs w:val="20"/>
        </w:rPr>
        <w:t>anrechenbaren</w:t>
      </w:r>
      <w:r w:rsidRPr="001E6599">
        <w:rPr>
          <w:rFonts w:cs="Arial"/>
          <w:szCs w:val="20"/>
        </w:rPr>
        <w:t xml:space="preserve"> und den nicht </w:t>
      </w:r>
      <w:r w:rsidR="00913BB7">
        <w:rPr>
          <w:rFonts w:cs="Arial"/>
          <w:szCs w:val="20"/>
        </w:rPr>
        <w:t>anrechenbaren Kosten</w:t>
      </w:r>
      <w:r w:rsidRPr="001E6599">
        <w:rPr>
          <w:rFonts w:cs="Arial"/>
          <w:szCs w:val="20"/>
        </w:rPr>
        <w:t xml:space="preserve"> zugewiesen.</w:t>
      </w:r>
    </w:p>
    <w:p w14:paraId="67E928D4" w14:textId="77777777" w:rsidR="00823FFA" w:rsidRPr="005221B3" w:rsidRDefault="00823FFA" w:rsidP="00823FFA">
      <w:pPr>
        <w:pStyle w:val="Listenabsatz"/>
        <w:rPr>
          <w:rFonts w:cs="Arial"/>
          <w:szCs w:val="20"/>
        </w:rPr>
      </w:pPr>
    </w:p>
    <w:p w14:paraId="76D03D2E" w14:textId="77777777" w:rsidR="00DC5F0E" w:rsidRPr="00B72FD7" w:rsidRDefault="00754BE1" w:rsidP="00DC5F0E">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ind w:left="567"/>
        <w:rPr>
          <w:rFonts w:cs="Arial"/>
          <w:b/>
          <w:bCs/>
          <w:szCs w:val="20"/>
        </w:rPr>
      </w:pPr>
      <w:r w:rsidRPr="00B64825">
        <w:rPr>
          <w:noProof/>
          <w:lang w:eastAsia="de-AT"/>
        </w:rPr>
        <mc:AlternateContent>
          <mc:Choice Requires="wps">
            <w:drawing>
              <wp:anchor distT="0" distB="0" distL="114300" distR="114300" simplePos="0" relativeHeight="251661312" behindDoc="0" locked="0" layoutInCell="1" allowOverlap="1" wp14:anchorId="62A92868" wp14:editId="0E801A8A">
                <wp:simplePos x="0" y="0"/>
                <wp:positionH relativeFrom="column">
                  <wp:posOffset>-107288</wp:posOffset>
                </wp:positionH>
                <wp:positionV relativeFrom="paragraph">
                  <wp:posOffset>-1547</wp:posOffset>
                </wp:positionV>
                <wp:extent cx="370840" cy="81026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14:paraId="39412A5F" w14:textId="77777777" w:rsidR="00DC5F0E" w:rsidRPr="00AD5033" w:rsidRDefault="00DC5F0E" w:rsidP="00DC5F0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2A92868" id="_x0000_s1027" type="#_x0000_t202" style="position:absolute;left:0;text-align:left;margin-left:-8.45pt;margin-top:-.1pt;width:29.2pt;height:6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" filled="f" stroked="f">
                <v:textbox>
                  <w:txbxContent>
                    <w:p w14:paraId="39412A5F" w14:textId="77777777" w:rsidR="00DC5F0E" w:rsidRPr="00AD5033" w:rsidRDefault="00DC5F0E" w:rsidP="00DC5F0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DC5F0E" w:rsidRPr="00B72FD7">
        <w:rPr>
          <w:rFonts w:cs="Arial"/>
          <w:b/>
          <w:bCs/>
          <w:szCs w:val="20"/>
        </w:rPr>
        <w:t>Hinweis:</w:t>
      </w:r>
    </w:p>
    <w:p w14:paraId="2DC80AB1" w14:textId="77777777" w:rsidR="0002511D" w:rsidRDefault="00DC5F0E" w:rsidP="0002511D">
      <w:pPr>
        <w:pBdr>
          <w:top w:val="single" w:sz="12" w:space="2" w:color="82AB28"/>
          <w:left w:val="single" w:sz="12" w:space="6" w:color="82AB28"/>
          <w:bottom w:val="single" w:sz="12" w:space="1" w:color="82AB28"/>
          <w:right w:val="single" w:sz="12" w:space="6" w:color="82AB28"/>
        </w:pBdr>
        <w:autoSpaceDE w:val="0"/>
        <w:autoSpaceDN w:val="0"/>
        <w:adjustRightInd w:val="0"/>
        <w:spacing w:before="120"/>
        <w:ind w:left="567"/>
      </w:pPr>
      <w:r w:rsidRPr="00AF707E">
        <w:t xml:space="preserve">Laut Art. 61 VO 1303/2013 wird unter Nettoeinnahmen der Geldzufluss verstanden, der unmittelbar von den Nutzern der im Rahmen des Vorhabens bereitgestellten Waren und </w:t>
      </w:r>
      <w:r>
        <w:t xml:space="preserve">Dienstleistungen gezahlt wird. </w:t>
      </w:r>
    </w:p>
    <w:p w14:paraId="6E4F013D" w14:textId="77777777" w:rsidR="00D909E7" w:rsidRPr="0002511D" w:rsidRDefault="00D909E7" w:rsidP="0002511D">
      <w:pPr>
        <w:pBdr>
          <w:top w:val="single" w:sz="12" w:space="2" w:color="82AB28"/>
          <w:left w:val="single" w:sz="12" w:space="6" w:color="82AB28"/>
          <w:bottom w:val="single" w:sz="12" w:space="1" w:color="82AB28"/>
          <w:right w:val="single" w:sz="12" w:space="6" w:color="82AB28"/>
        </w:pBdr>
        <w:autoSpaceDE w:val="0"/>
        <w:autoSpaceDN w:val="0"/>
        <w:adjustRightInd w:val="0"/>
        <w:spacing w:before="120"/>
        <w:ind w:left="567"/>
      </w:pPr>
      <w:r>
        <w:t xml:space="preserve">Beispiele sind: Gebühren/Eintrittsgelder die unmittelbar für die Benutzung von geförderten Infrastrukturen eingehoben werden, </w:t>
      </w:r>
      <w:r w:rsidRPr="0002511D">
        <w:t>Eintrittsgelder, die bei geförderten Veranstaltungen kassiert werden; Produkte, die durch das Projekt entwickelt und verkauft werden (z.B. Buch, Wanderkarte etc.)</w:t>
      </w:r>
      <w:r w:rsidR="0002511D" w:rsidRPr="0002511D">
        <w:t xml:space="preserve">; </w:t>
      </w:r>
      <w:r w:rsidR="0002511D">
        <w:t>Lizenzeinnahmen als Folge von im Projekt erworbenen Patenten/Rechten etc.</w:t>
      </w:r>
    </w:p>
    <w:p w14:paraId="67EF724D" w14:textId="77777777" w:rsidR="00D909E7" w:rsidRDefault="00D909E7" w:rsidP="00DC5F0E">
      <w:pPr>
        <w:pBdr>
          <w:top w:val="single" w:sz="12" w:space="2" w:color="82AB28"/>
          <w:left w:val="single" w:sz="12" w:space="6" w:color="82AB28"/>
          <w:bottom w:val="single" w:sz="12" w:space="1" w:color="82AB28"/>
          <w:right w:val="single" w:sz="12" w:space="6" w:color="82AB28"/>
        </w:pBdr>
        <w:autoSpaceDE w:val="0"/>
        <w:autoSpaceDN w:val="0"/>
        <w:adjustRightInd w:val="0"/>
        <w:spacing w:before="120"/>
        <w:ind w:left="567"/>
      </w:pPr>
    </w:p>
    <w:p w14:paraId="6800D899" w14:textId="77777777" w:rsidR="00D73AE1" w:rsidRDefault="00DC5F0E" w:rsidP="00DC5F0E">
      <w:pPr>
        <w:pBdr>
          <w:top w:val="single" w:sz="12" w:space="2" w:color="82AB28"/>
          <w:left w:val="single" w:sz="12" w:space="6" w:color="82AB28"/>
          <w:bottom w:val="single" w:sz="12" w:space="1" w:color="82AB28"/>
          <w:right w:val="single" w:sz="12" w:space="6" w:color="82AB28"/>
        </w:pBdr>
        <w:autoSpaceDE w:val="0"/>
        <w:autoSpaceDN w:val="0"/>
        <w:adjustRightInd w:val="0"/>
        <w:spacing w:before="120"/>
        <w:ind w:left="567"/>
      </w:pPr>
      <w:r>
        <w:t xml:space="preserve">Davon </w:t>
      </w:r>
      <w:r w:rsidR="00D73AE1">
        <w:t xml:space="preserve">abzugrenzen sind </w:t>
      </w:r>
      <w:r>
        <w:t>die „Einnahmen“</w:t>
      </w:r>
      <w:r w:rsidR="00D73AE1">
        <w:t>,</w:t>
      </w:r>
      <w:r>
        <w:t xml:space="preserve"> die zur Deckung des Eigenmittelbedarfs</w:t>
      </w:r>
      <w:r w:rsidR="00D73AE1">
        <w:t xml:space="preserve"> (Finanzierung) eines Vorhabens verwendet werden.</w:t>
      </w:r>
    </w:p>
    <w:p w14:paraId="0382639E" w14:textId="77777777" w:rsidR="00D73AE1" w:rsidRDefault="00D73AE1" w:rsidP="00DC5F0E">
      <w:pPr>
        <w:pBdr>
          <w:top w:val="single" w:sz="12" w:space="2" w:color="82AB28"/>
          <w:left w:val="single" w:sz="12" w:space="6" w:color="82AB28"/>
          <w:bottom w:val="single" w:sz="12" w:space="1" w:color="82AB28"/>
          <w:right w:val="single" w:sz="12" w:space="6" w:color="82AB28"/>
        </w:pBdr>
        <w:autoSpaceDE w:val="0"/>
        <w:autoSpaceDN w:val="0"/>
        <w:adjustRightInd w:val="0"/>
        <w:spacing w:before="120"/>
        <w:ind w:left="567"/>
      </w:pPr>
      <w:r>
        <w:t>Beispiele sind: Spenden</w:t>
      </w:r>
      <w:r w:rsidR="00D909E7">
        <w:t xml:space="preserve">; </w:t>
      </w:r>
      <w:r>
        <w:t>Leistungen Dritter</w:t>
      </w:r>
      <w:r w:rsidR="00D909E7">
        <w:t xml:space="preserve">; </w:t>
      </w:r>
      <w:r>
        <w:t>Einnahmen aus Sponsoring</w:t>
      </w:r>
      <w:r w:rsidR="00FE16C9">
        <w:t xml:space="preserve"> etc.</w:t>
      </w:r>
    </w:p>
    <w:p w14:paraId="3C344571" w14:textId="4DCBC250" w:rsidR="00DC5F0E" w:rsidRPr="00AF707E" w:rsidRDefault="00DC5F0E" w:rsidP="00DC5F0E">
      <w:pPr>
        <w:pBdr>
          <w:top w:val="single" w:sz="12" w:space="2" w:color="82AB28"/>
          <w:left w:val="single" w:sz="12" w:space="6" w:color="82AB28"/>
          <w:bottom w:val="single" w:sz="12" w:space="1" w:color="82AB28"/>
          <w:right w:val="single" w:sz="12" w:space="6" w:color="82AB28"/>
        </w:pBdr>
        <w:autoSpaceDE w:val="0"/>
        <w:autoSpaceDN w:val="0"/>
        <w:adjustRightInd w:val="0"/>
        <w:spacing w:before="120"/>
        <w:ind w:left="567"/>
        <w:rPr>
          <w:rFonts w:cs="Arial"/>
          <w:bCs/>
          <w:szCs w:val="20"/>
        </w:rPr>
      </w:pPr>
      <w:r w:rsidRPr="00AF707E">
        <w:t xml:space="preserve">Wenn es um die Vorgaben des Art. 61 </w:t>
      </w:r>
      <w:r w:rsidR="001E6818">
        <w:t xml:space="preserve">(Gruppe 1) </w:t>
      </w:r>
      <w:r w:rsidRPr="00AF707E">
        <w:t>g</w:t>
      </w:r>
      <w:r>
        <w:t xml:space="preserve">eht, ergibt sich daher </w:t>
      </w:r>
      <w:r w:rsidRPr="00AF707E">
        <w:t xml:space="preserve">keine Verpflichtung </w:t>
      </w:r>
      <w:r>
        <w:t xml:space="preserve">Einnahmen </w:t>
      </w:r>
      <w:r w:rsidR="00D909E7">
        <w:t xml:space="preserve">zur Deckung des Eigenmittelbedarfs bzw. </w:t>
      </w:r>
      <w:r w:rsidR="00D73AE1" w:rsidRPr="00AF707E">
        <w:t xml:space="preserve">zur </w:t>
      </w:r>
      <w:r w:rsidR="00D73AE1">
        <w:t>Finanzierung des Vorhabens</w:t>
      </w:r>
      <w:r w:rsidR="00D73AE1" w:rsidRPr="00AF707E">
        <w:t xml:space="preserve"> </w:t>
      </w:r>
      <w:r w:rsidR="00D909E7">
        <w:t xml:space="preserve">als </w:t>
      </w:r>
      <w:r w:rsidRPr="00AF707E">
        <w:t>Einnahmen</w:t>
      </w:r>
      <w:r w:rsidR="00D73AE1">
        <w:t xml:space="preserve"> </w:t>
      </w:r>
      <w:r w:rsidRPr="00AF707E">
        <w:t>zu sehen</w:t>
      </w:r>
      <w:r w:rsidRPr="00AF707E">
        <w:rPr>
          <w:rFonts w:cs="Arial"/>
          <w:bCs/>
          <w:szCs w:val="20"/>
        </w:rPr>
        <w:t>.</w:t>
      </w:r>
    </w:p>
    <w:p w14:paraId="3C58DDDD" w14:textId="77777777" w:rsidR="00D909E7" w:rsidRDefault="00D909E7" w:rsidP="00DC5F0E">
      <w:pPr>
        <w:pBdr>
          <w:top w:val="single" w:sz="12" w:space="2" w:color="82AB28"/>
          <w:left w:val="single" w:sz="12" w:space="6" w:color="82AB28"/>
          <w:bottom w:val="single" w:sz="12" w:space="1" w:color="82AB28"/>
          <w:right w:val="single" w:sz="12" w:space="6" w:color="82AB28"/>
        </w:pBdr>
        <w:autoSpaceDE w:val="0"/>
        <w:autoSpaceDN w:val="0"/>
        <w:adjustRightInd w:val="0"/>
        <w:spacing w:before="120"/>
        <w:ind w:left="567"/>
      </w:pPr>
      <w:r>
        <w:t>Unabhängig davon gilt jedoch nach wie vor, dass eine Überförderung auszuschließen ist. Aus diesem Grund sind die Einnahmen zur Deckung des Eigenmittelbedarfs bei Vorhaben der Gruppe 4 als Einnahmen zu berücksichtigen (siehe dazu Vorgaben Gruppe 4)</w:t>
      </w:r>
    </w:p>
    <w:p w14:paraId="38442AA6" w14:textId="77777777" w:rsidR="00CC3237" w:rsidRPr="003073A9" w:rsidRDefault="00CC3237" w:rsidP="003073A9">
      <w:pPr>
        <w:rPr>
          <w:rFonts w:cs="Arial"/>
          <w:szCs w:val="20"/>
        </w:rPr>
      </w:pPr>
    </w:p>
    <w:p w14:paraId="2A24E119" w14:textId="77777777" w:rsidR="00A85573" w:rsidRDefault="005C7526" w:rsidP="00FC725B">
      <w:pPr>
        <w:rPr>
          <w:rFonts w:cs="Arial"/>
          <w:b/>
          <w:szCs w:val="20"/>
        </w:rPr>
      </w:pPr>
      <w:r>
        <w:rPr>
          <w:rFonts w:cs="Arial"/>
          <w:b/>
          <w:szCs w:val="20"/>
        </w:rPr>
        <w:t xml:space="preserve">Gruppe 1: </w:t>
      </w:r>
    </w:p>
    <w:p w14:paraId="63DC37CC" w14:textId="77777777" w:rsidR="00A85573" w:rsidRDefault="00A85573" w:rsidP="003763DF">
      <w:pPr>
        <w:ind w:left="284"/>
        <w:rPr>
          <w:rFonts w:cs="Arial"/>
          <w:szCs w:val="20"/>
        </w:rPr>
      </w:pPr>
      <w:r w:rsidRPr="00E67B35">
        <w:rPr>
          <w:rFonts w:cs="Arial"/>
          <w:szCs w:val="20"/>
        </w:rPr>
        <w:t>Grundsätzlich gilt, dass die anrechenbaren Kosten</w:t>
      </w:r>
      <w:r w:rsidR="00C03C05">
        <w:rPr>
          <w:rFonts w:cs="Arial"/>
          <w:szCs w:val="20"/>
        </w:rPr>
        <w:t xml:space="preserve"> vorab (</w:t>
      </w:r>
      <w:r w:rsidR="00EC4C14">
        <w:rPr>
          <w:rFonts w:cs="Arial"/>
          <w:szCs w:val="20"/>
        </w:rPr>
        <w:t xml:space="preserve">im Zuge </w:t>
      </w:r>
      <w:r w:rsidR="00C03C05">
        <w:rPr>
          <w:rFonts w:cs="Arial"/>
          <w:szCs w:val="20"/>
        </w:rPr>
        <w:t xml:space="preserve">der Genehmigung) </w:t>
      </w:r>
      <w:r w:rsidRPr="00E67B35">
        <w:rPr>
          <w:rFonts w:cs="Arial"/>
          <w:szCs w:val="20"/>
        </w:rPr>
        <w:t xml:space="preserve">um die in </w:t>
      </w:r>
      <w:r w:rsidR="00880DB4">
        <w:rPr>
          <w:rFonts w:cs="Arial"/>
          <w:szCs w:val="20"/>
        </w:rPr>
        <w:t>einem bestimmten Bezugszeitraum</w:t>
      </w:r>
      <w:r w:rsidR="00C03C05">
        <w:rPr>
          <w:rFonts w:cs="Arial"/>
          <w:szCs w:val="20"/>
        </w:rPr>
        <w:t xml:space="preserve"> </w:t>
      </w:r>
      <w:r w:rsidRPr="00E67B35">
        <w:rPr>
          <w:rFonts w:cs="Arial"/>
          <w:szCs w:val="20"/>
        </w:rPr>
        <w:t>erwarteten Nettoeinnahmen gekürzt werden</w:t>
      </w:r>
      <w:r>
        <w:rPr>
          <w:rFonts w:cs="Arial"/>
          <w:szCs w:val="20"/>
        </w:rPr>
        <w:t xml:space="preserve"> (Finanzierungsdefizitmethode)</w:t>
      </w:r>
      <w:r w:rsidRPr="00E67B35">
        <w:rPr>
          <w:rFonts w:cs="Arial"/>
          <w:szCs w:val="20"/>
        </w:rPr>
        <w:t>. Der Bezugszeitraum umfasst sowohl die Durchführung als auch den Zeitraum nach Abschluss des Vorhabens.</w:t>
      </w:r>
      <w:r w:rsidR="00EE6635">
        <w:rPr>
          <w:rFonts w:cs="Arial"/>
          <w:szCs w:val="20"/>
        </w:rPr>
        <w:t xml:space="preserve"> Wenn </w:t>
      </w:r>
      <w:r w:rsidR="00E93552">
        <w:rPr>
          <w:rFonts w:cs="Arial"/>
          <w:szCs w:val="20"/>
        </w:rPr>
        <w:t>beispielsweise</w:t>
      </w:r>
      <w:r w:rsidR="00EE6635">
        <w:rPr>
          <w:rFonts w:cs="Arial"/>
          <w:szCs w:val="20"/>
        </w:rPr>
        <w:t xml:space="preserve"> der Bezugszeitraum </w:t>
      </w:r>
      <w:r w:rsidR="00E93552">
        <w:rPr>
          <w:rFonts w:cs="Arial"/>
          <w:szCs w:val="20"/>
        </w:rPr>
        <w:t xml:space="preserve">für ein Vorhaben </w:t>
      </w:r>
      <w:r w:rsidR="00EE6635">
        <w:rPr>
          <w:rFonts w:cs="Arial"/>
          <w:szCs w:val="20"/>
        </w:rPr>
        <w:t xml:space="preserve">15 Jahre </w:t>
      </w:r>
      <w:r w:rsidR="00E93552">
        <w:rPr>
          <w:rFonts w:cs="Arial"/>
          <w:szCs w:val="20"/>
        </w:rPr>
        <w:t>umfasst und das Vorhaben einen dreijährigen Durchführungszeitraum vom 1.1.2018 bis 31.12.2020 genehmigt bekommen hat, dann beträgt der Zeitraum nach Abschluss des Vorhabens noch 12 Jahre (1.1.2020 bis 31.12.2032).</w:t>
      </w:r>
      <w:r w:rsidR="000B22ED">
        <w:rPr>
          <w:rFonts w:cs="Arial"/>
          <w:szCs w:val="20"/>
        </w:rPr>
        <w:t xml:space="preserve"> In </w:t>
      </w:r>
      <w:r w:rsidR="00C03C05">
        <w:rPr>
          <w:rFonts w:cs="Arial"/>
          <w:szCs w:val="20"/>
        </w:rPr>
        <w:t xml:space="preserve">untenstehender </w:t>
      </w:r>
      <w:r w:rsidR="000B22ED">
        <w:rPr>
          <w:rFonts w:cs="Arial"/>
          <w:szCs w:val="20"/>
        </w:rPr>
        <w:t>Tabelle 2 sind die Bezugszeiträume der einzelnen Sektoren aufgelistet.</w:t>
      </w:r>
      <w:r w:rsidR="00696FFC">
        <w:rPr>
          <w:rFonts w:cs="Arial"/>
          <w:szCs w:val="20"/>
        </w:rPr>
        <w:t xml:space="preserve"> </w:t>
      </w:r>
    </w:p>
    <w:p w14:paraId="12558466" w14:textId="77777777" w:rsidR="00804212" w:rsidRDefault="00804212" w:rsidP="00880DB4">
      <w:pPr>
        <w:ind w:left="284"/>
        <w:rPr>
          <w:rFonts w:cs="Arial"/>
          <w:szCs w:val="20"/>
        </w:rPr>
      </w:pPr>
      <w:r>
        <w:rPr>
          <w:rFonts w:cs="Arial"/>
          <w:szCs w:val="20"/>
        </w:rPr>
        <w:lastRenderedPageBreak/>
        <w:t xml:space="preserve">Als erster Schritt ist zu prüfen, ob für das gegenständliche Vorhaben eine nachvollziehbare/objektive Schätzung der Nettoeinnahmen vorab möglich ist, oder ob diese </w:t>
      </w:r>
      <w:r w:rsidR="00B43BE0">
        <w:rPr>
          <w:rFonts w:cs="Arial"/>
          <w:szCs w:val="20"/>
        </w:rPr>
        <w:t xml:space="preserve">Schätzung </w:t>
      </w:r>
      <w:r>
        <w:rPr>
          <w:rFonts w:cs="Arial"/>
          <w:szCs w:val="20"/>
        </w:rPr>
        <w:t xml:space="preserve">auf Grund von besonderen Umständen (neue Infrastruktur, keine historischen oder vergleichbaren Werte) nicht </w:t>
      </w:r>
      <w:r w:rsidR="003763DF">
        <w:rPr>
          <w:rFonts w:cs="Arial"/>
          <w:szCs w:val="20"/>
        </w:rPr>
        <w:t>möglich ist</w:t>
      </w:r>
      <w:r>
        <w:rPr>
          <w:rFonts w:cs="Arial"/>
          <w:szCs w:val="20"/>
        </w:rPr>
        <w:t>.</w:t>
      </w:r>
    </w:p>
    <w:p w14:paraId="75C4F71F" w14:textId="77777777" w:rsidR="00A85573" w:rsidRDefault="00A85573" w:rsidP="00FC725B">
      <w:pPr>
        <w:rPr>
          <w:rFonts w:cs="Arial"/>
          <w:b/>
          <w:szCs w:val="20"/>
        </w:rPr>
      </w:pPr>
    </w:p>
    <w:p w14:paraId="204957B3" w14:textId="77777777" w:rsidR="00FC725B" w:rsidRDefault="00230CB2" w:rsidP="00F176BC">
      <w:pPr>
        <w:ind w:firstLine="284"/>
        <w:rPr>
          <w:rFonts w:cs="Arial"/>
          <w:b/>
          <w:szCs w:val="20"/>
        </w:rPr>
      </w:pPr>
      <w:r>
        <w:rPr>
          <w:rFonts w:cs="Arial"/>
          <w:b/>
          <w:szCs w:val="20"/>
        </w:rPr>
        <w:t xml:space="preserve">Ermittlung der </w:t>
      </w:r>
      <w:r w:rsidR="00BB7E09">
        <w:rPr>
          <w:rFonts w:cs="Arial"/>
          <w:b/>
          <w:szCs w:val="20"/>
        </w:rPr>
        <w:t xml:space="preserve">vorab geschätzten </w:t>
      </w:r>
      <w:r>
        <w:rPr>
          <w:rFonts w:cs="Arial"/>
          <w:b/>
          <w:szCs w:val="20"/>
        </w:rPr>
        <w:t>N</w:t>
      </w:r>
      <w:r w:rsidR="0053556D">
        <w:rPr>
          <w:rFonts w:cs="Arial"/>
          <w:b/>
          <w:szCs w:val="20"/>
        </w:rPr>
        <w:t>e</w:t>
      </w:r>
      <w:r>
        <w:rPr>
          <w:rFonts w:cs="Arial"/>
          <w:b/>
          <w:szCs w:val="20"/>
        </w:rPr>
        <w:t>tto</w:t>
      </w:r>
      <w:r w:rsidR="0053556D">
        <w:rPr>
          <w:rFonts w:cs="Arial"/>
          <w:b/>
          <w:szCs w:val="20"/>
        </w:rPr>
        <w:t>einnahmen</w:t>
      </w:r>
      <w:r w:rsidR="00BB7E09">
        <w:rPr>
          <w:rFonts w:cs="Arial"/>
          <w:b/>
          <w:szCs w:val="20"/>
        </w:rPr>
        <w:t>:</w:t>
      </w:r>
      <w:r w:rsidR="0053556D">
        <w:rPr>
          <w:rFonts w:cs="Arial"/>
          <w:b/>
          <w:szCs w:val="20"/>
        </w:rPr>
        <w:t xml:space="preserve"> </w:t>
      </w:r>
    </w:p>
    <w:p w14:paraId="38B6362F" w14:textId="77777777" w:rsidR="004551B4" w:rsidRDefault="004551B4" w:rsidP="00FC725B">
      <w:pPr>
        <w:rPr>
          <w:rFonts w:cs="Arial"/>
          <w:szCs w:val="20"/>
        </w:rPr>
      </w:pPr>
    </w:p>
    <w:p w14:paraId="41497FD7" w14:textId="77777777" w:rsidR="005C7526" w:rsidRDefault="005B70E8" w:rsidP="00880DB4">
      <w:pPr>
        <w:ind w:left="708"/>
        <w:rPr>
          <w:rFonts w:cs="Arial"/>
          <w:szCs w:val="20"/>
        </w:rPr>
      </w:pPr>
      <w:r>
        <w:rPr>
          <w:rFonts w:cs="Arial"/>
          <w:szCs w:val="20"/>
        </w:rPr>
        <w:t>G</w:t>
      </w:r>
      <w:r w:rsidR="00C12335">
        <w:rPr>
          <w:rFonts w:cs="Arial"/>
          <w:szCs w:val="20"/>
        </w:rPr>
        <w:t xml:space="preserve">emäß Art. 61 Abs. 3 Unterabsatz 1 lit. a und b </w:t>
      </w:r>
      <w:r w:rsidR="008D2ED0">
        <w:rPr>
          <w:rFonts w:cs="Arial"/>
          <w:szCs w:val="20"/>
        </w:rPr>
        <w:t xml:space="preserve">der </w:t>
      </w:r>
      <w:r w:rsidR="008D2ED0" w:rsidRPr="00B23B65">
        <w:rPr>
          <w:rFonts w:cs="Arial"/>
          <w:szCs w:val="20"/>
        </w:rPr>
        <w:t xml:space="preserve">VO </w:t>
      </w:r>
      <w:r w:rsidR="00696FFC">
        <w:rPr>
          <w:rFonts w:cs="Arial"/>
          <w:szCs w:val="20"/>
        </w:rPr>
        <w:t xml:space="preserve">(EU) </w:t>
      </w:r>
      <w:r w:rsidR="008D2ED0" w:rsidRPr="00B23B65">
        <w:rPr>
          <w:rFonts w:cs="Arial"/>
          <w:szCs w:val="20"/>
        </w:rPr>
        <w:t xml:space="preserve">1303/2013 </w:t>
      </w:r>
      <w:r>
        <w:rPr>
          <w:rFonts w:cs="Arial"/>
          <w:szCs w:val="20"/>
        </w:rPr>
        <w:t xml:space="preserve">sind bei vorab abschätzbaren Einnahmen </w:t>
      </w:r>
      <w:r w:rsidR="00C12335" w:rsidRPr="00A21000">
        <w:rPr>
          <w:rFonts w:cs="Arial"/>
          <w:b/>
          <w:szCs w:val="20"/>
        </w:rPr>
        <w:t>zwei Methoden</w:t>
      </w:r>
      <w:r>
        <w:rPr>
          <w:rFonts w:cs="Arial"/>
          <w:b/>
          <w:szCs w:val="20"/>
        </w:rPr>
        <w:t xml:space="preserve"> </w:t>
      </w:r>
      <w:r w:rsidR="00C12335">
        <w:rPr>
          <w:rFonts w:cs="Arial"/>
          <w:szCs w:val="20"/>
        </w:rPr>
        <w:t>zulässig</w:t>
      </w:r>
      <w:r>
        <w:rPr>
          <w:rFonts w:cs="Arial"/>
          <w:szCs w:val="20"/>
        </w:rPr>
        <w:t>:</w:t>
      </w:r>
    </w:p>
    <w:p w14:paraId="3BBA41FC" w14:textId="77777777" w:rsidR="00550185" w:rsidRPr="005C7526" w:rsidRDefault="00550185" w:rsidP="00FC725B">
      <w:pPr>
        <w:rPr>
          <w:rFonts w:cs="Arial"/>
          <w:szCs w:val="20"/>
        </w:rPr>
      </w:pPr>
    </w:p>
    <w:p w14:paraId="73822315" w14:textId="77777777" w:rsidR="006F0294" w:rsidRDefault="00C12335" w:rsidP="00880DB4">
      <w:pPr>
        <w:ind w:left="360" w:firstLine="348"/>
        <w:rPr>
          <w:rFonts w:cs="Arial"/>
          <w:szCs w:val="20"/>
        </w:rPr>
      </w:pPr>
      <w:r w:rsidRPr="00A21000">
        <w:rPr>
          <w:rFonts w:cs="Arial"/>
          <w:b/>
          <w:szCs w:val="20"/>
        </w:rPr>
        <w:t>Methode 1:</w:t>
      </w:r>
      <w:r>
        <w:rPr>
          <w:rFonts w:cs="Arial"/>
          <w:szCs w:val="20"/>
        </w:rPr>
        <w:t xml:space="preserve"> </w:t>
      </w:r>
      <w:r w:rsidR="006F0294">
        <w:rPr>
          <w:rFonts w:cs="Arial"/>
          <w:szCs w:val="20"/>
        </w:rPr>
        <w:t xml:space="preserve">Ermittlung der Nettoeinnahmen durch die Anwendung eines Pauschalsatzes. </w:t>
      </w:r>
    </w:p>
    <w:p w14:paraId="6288C1DB" w14:textId="77777777" w:rsidR="00030F77" w:rsidRDefault="00030F77" w:rsidP="00030F77">
      <w:pPr>
        <w:ind w:firstLine="708"/>
        <w:rPr>
          <w:rFonts w:cs="Arial"/>
          <w:b/>
          <w:szCs w:val="20"/>
        </w:rPr>
      </w:pPr>
    </w:p>
    <w:p w14:paraId="3381D7AF" w14:textId="77777777" w:rsidR="00165203" w:rsidRPr="00030F77" w:rsidRDefault="00030F77" w:rsidP="00880DB4">
      <w:pPr>
        <w:ind w:left="708" w:firstLine="708"/>
        <w:rPr>
          <w:rFonts w:cs="Arial"/>
          <w:b/>
          <w:szCs w:val="20"/>
        </w:rPr>
      </w:pPr>
      <w:r w:rsidRPr="00030F77">
        <w:rPr>
          <w:rFonts w:cs="Arial"/>
          <w:b/>
          <w:szCs w:val="20"/>
        </w:rPr>
        <w:t xml:space="preserve">Wird im </w:t>
      </w:r>
      <w:r w:rsidR="007B4FC6" w:rsidRPr="00030F77">
        <w:rPr>
          <w:rFonts w:cs="Arial"/>
          <w:b/>
          <w:szCs w:val="20"/>
        </w:rPr>
        <w:t xml:space="preserve">ELER </w:t>
      </w:r>
      <w:r w:rsidRPr="00030F77">
        <w:rPr>
          <w:rFonts w:cs="Arial"/>
          <w:b/>
          <w:szCs w:val="20"/>
        </w:rPr>
        <w:t>nicht angewendet!</w:t>
      </w:r>
    </w:p>
    <w:p w14:paraId="173C2859" w14:textId="77777777" w:rsidR="00880DB4" w:rsidRDefault="00880DB4" w:rsidP="00880DB4">
      <w:pPr>
        <w:rPr>
          <w:rFonts w:cs="Arial"/>
          <w:szCs w:val="20"/>
        </w:rPr>
      </w:pPr>
    </w:p>
    <w:p w14:paraId="79E494A7" w14:textId="77777777" w:rsidR="00E67B35" w:rsidDel="008D2ED0" w:rsidRDefault="00C12335" w:rsidP="00880DB4">
      <w:pPr>
        <w:ind w:left="1134" w:hanging="426"/>
        <w:rPr>
          <w:rFonts w:cs="Arial"/>
          <w:szCs w:val="20"/>
        </w:rPr>
      </w:pPr>
      <w:r w:rsidRPr="00A21000" w:rsidDel="008D2ED0">
        <w:rPr>
          <w:rFonts w:cs="Arial"/>
          <w:b/>
          <w:szCs w:val="20"/>
        </w:rPr>
        <w:t>Methode 2:</w:t>
      </w:r>
      <w:r w:rsidRPr="00E67B35" w:rsidDel="008D2ED0">
        <w:rPr>
          <w:rFonts w:cs="Arial"/>
          <w:b/>
          <w:szCs w:val="20"/>
        </w:rPr>
        <w:t xml:space="preserve"> </w:t>
      </w:r>
      <w:r w:rsidR="006F0294" w:rsidRPr="00E67B35" w:rsidDel="008D2ED0">
        <w:rPr>
          <w:rFonts w:cs="Arial"/>
          <w:szCs w:val="20"/>
        </w:rPr>
        <w:t xml:space="preserve">Ermittlung der Nettoeinnahmen durch Berechnung (vgl. Art. 61 Abs.3 Unterabsatz </w:t>
      </w:r>
      <w:r w:rsidR="00880DB4" w:rsidDel="008D2ED0">
        <w:rPr>
          <w:rFonts w:cs="Arial"/>
          <w:szCs w:val="20"/>
        </w:rPr>
        <w:tab/>
        <w:t xml:space="preserve">       </w:t>
      </w:r>
      <w:r w:rsidR="006F0294" w:rsidRPr="00E67B35" w:rsidDel="008D2ED0">
        <w:rPr>
          <w:rFonts w:cs="Arial"/>
          <w:szCs w:val="20"/>
        </w:rPr>
        <w:t>1</w:t>
      </w:r>
      <w:r w:rsidR="00880DB4" w:rsidDel="008D2ED0">
        <w:rPr>
          <w:rFonts w:cs="Arial"/>
          <w:szCs w:val="20"/>
        </w:rPr>
        <w:t xml:space="preserve"> </w:t>
      </w:r>
      <w:r w:rsidR="006F0294" w:rsidRPr="00E67B35" w:rsidDel="008D2ED0">
        <w:rPr>
          <w:rFonts w:cs="Arial"/>
          <w:szCs w:val="20"/>
        </w:rPr>
        <w:t>lit. b VO (EU) Nr. 1303/2013).</w:t>
      </w:r>
      <w:r w:rsidR="00E67B35" w:rsidRPr="00E67B35" w:rsidDel="008D2ED0">
        <w:rPr>
          <w:rFonts w:cs="Arial"/>
          <w:szCs w:val="20"/>
        </w:rPr>
        <w:t xml:space="preserve"> </w:t>
      </w:r>
    </w:p>
    <w:p w14:paraId="5127BEF5" w14:textId="77777777" w:rsidR="00F950F4" w:rsidRPr="005221B3" w:rsidRDefault="00F950F4" w:rsidP="00F950F4">
      <w:pPr>
        <w:pStyle w:val="Listenabsatz"/>
        <w:rPr>
          <w:rFonts w:cs="Arial"/>
          <w:szCs w:val="20"/>
        </w:rPr>
      </w:pPr>
    </w:p>
    <w:p w14:paraId="7CD5933E" w14:textId="77777777" w:rsidR="00F950F4" w:rsidRPr="00B72FD7" w:rsidRDefault="00F950F4" w:rsidP="00F950F4">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ind w:left="567"/>
        <w:rPr>
          <w:rFonts w:cs="Arial"/>
          <w:b/>
          <w:bCs/>
          <w:szCs w:val="20"/>
        </w:rPr>
      </w:pPr>
      <w:r w:rsidRPr="00B64825">
        <w:rPr>
          <w:noProof/>
          <w:lang w:eastAsia="de-AT"/>
        </w:rPr>
        <mc:AlternateContent>
          <mc:Choice Requires="wps">
            <w:drawing>
              <wp:anchor distT="0" distB="0" distL="114300" distR="114300" simplePos="0" relativeHeight="251665408" behindDoc="0" locked="0" layoutInCell="1" allowOverlap="1" wp14:anchorId="6386E42A" wp14:editId="48EC1CC3">
                <wp:simplePos x="0" y="0"/>
                <wp:positionH relativeFrom="column">
                  <wp:posOffset>-107288</wp:posOffset>
                </wp:positionH>
                <wp:positionV relativeFrom="paragraph">
                  <wp:posOffset>-1547</wp:posOffset>
                </wp:positionV>
                <wp:extent cx="370840" cy="8102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14:paraId="5DCBF89A" w14:textId="77777777" w:rsidR="00F950F4" w:rsidRPr="00AD5033" w:rsidRDefault="00F950F4" w:rsidP="00F950F4">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386E42A" id="_x0000_s1028" type="#_x0000_t202" style="position:absolute;left:0;text-align:left;margin-left:-8.45pt;margin-top:-.1pt;width:29.2pt;height:6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" filled="f" stroked="f">
                <v:textbox>
                  <w:txbxContent>
                    <w:p w14:paraId="5DCBF89A" w14:textId="77777777" w:rsidR="00F950F4" w:rsidRPr="00AD5033" w:rsidRDefault="00F950F4" w:rsidP="00F950F4">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B72FD7">
        <w:rPr>
          <w:rFonts w:cs="Arial"/>
          <w:b/>
          <w:bCs/>
          <w:szCs w:val="20"/>
        </w:rPr>
        <w:t>Hinweis:</w:t>
      </w:r>
    </w:p>
    <w:p w14:paraId="287EB45A" w14:textId="77777777" w:rsidR="00F950F4" w:rsidRPr="0002511D" w:rsidRDefault="00A108D9" w:rsidP="00F950F4">
      <w:pPr>
        <w:pBdr>
          <w:top w:val="single" w:sz="12" w:space="2" w:color="82AB28"/>
          <w:left w:val="single" w:sz="12" w:space="6" w:color="82AB28"/>
          <w:bottom w:val="single" w:sz="12" w:space="1" w:color="82AB28"/>
          <w:right w:val="single" w:sz="12" w:space="6" w:color="82AB28"/>
        </w:pBdr>
        <w:autoSpaceDE w:val="0"/>
        <w:autoSpaceDN w:val="0"/>
        <w:adjustRightInd w:val="0"/>
        <w:spacing w:before="120"/>
        <w:ind w:left="567"/>
      </w:pPr>
      <w:r>
        <w:rPr>
          <w:rFonts w:cs="Arial"/>
          <w:szCs w:val="20"/>
        </w:rPr>
        <w:t xml:space="preserve">Die Berechnung hat unter Heranziehung der </w:t>
      </w:r>
      <w:r w:rsidRPr="006073EE">
        <w:rPr>
          <w:rFonts w:cs="Arial"/>
          <w:szCs w:val="20"/>
        </w:rPr>
        <w:t xml:space="preserve">Anlage </w:t>
      </w:r>
      <w:r w:rsidR="006073EE" w:rsidRPr="006073EE">
        <w:rPr>
          <w:rFonts w:cs="Arial"/>
          <w:szCs w:val="20"/>
        </w:rPr>
        <w:t>10</w:t>
      </w:r>
      <w:r w:rsidRPr="006073EE">
        <w:rPr>
          <w:rFonts w:cs="Arial"/>
          <w:szCs w:val="20"/>
        </w:rPr>
        <w:t xml:space="preserve"> Formblatt zur Ermittlung der Nettoeinnahmen</w:t>
      </w:r>
      <w:r>
        <w:rPr>
          <w:rFonts w:cs="Arial"/>
          <w:szCs w:val="20"/>
        </w:rPr>
        <w:t xml:space="preserve"> gemäß Art.61 VO (EU) 1303/2013 zu erfolgen. Das Formblatt ist den Förderungswerbern bei Bedarf mit den Förderungsantragsunterlagen zur Verfügung zu</w:t>
      </w:r>
      <w:r w:rsidR="00220844">
        <w:rPr>
          <w:rFonts w:cs="Arial"/>
          <w:szCs w:val="20"/>
        </w:rPr>
        <w:t xml:space="preserve"> </w:t>
      </w:r>
      <w:r>
        <w:rPr>
          <w:rFonts w:cs="Arial"/>
          <w:szCs w:val="20"/>
        </w:rPr>
        <w:t>stellen</w:t>
      </w:r>
      <w:r>
        <w:t>.</w:t>
      </w:r>
    </w:p>
    <w:p w14:paraId="1FD999DE" w14:textId="77777777" w:rsidR="00EE728C" w:rsidRPr="001E6599" w:rsidRDefault="00EE728C" w:rsidP="00EE728C">
      <w:pPr>
        <w:rPr>
          <w:rFonts w:cs="Arial"/>
          <w:szCs w:val="20"/>
        </w:rPr>
      </w:pPr>
    </w:p>
    <w:p w14:paraId="79F0A3D3" w14:textId="77777777" w:rsidR="00D35FCA" w:rsidRDefault="00D35FCA" w:rsidP="00C12335">
      <w:pPr>
        <w:ind w:left="360"/>
        <w:rPr>
          <w:rFonts w:cs="Arial"/>
          <w:szCs w:val="20"/>
        </w:rPr>
      </w:pPr>
      <w:r>
        <w:rPr>
          <w:rFonts w:cs="Arial"/>
          <w:szCs w:val="20"/>
        </w:rPr>
        <w:t xml:space="preserve">In Art. 15-19 </w:t>
      </w:r>
      <w:r w:rsidRPr="005221B3">
        <w:rPr>
          <w:rFonts w:cs="Arial"/>
          <w:szCs w:val="20"/>
        </w:rPr>
        <w:t xml:space="preserve">VO (EU) Nr. 480/2014 </w:t>
      </w:r>
      <w:r w:rsidR="002D6738">
        <w:rPr>
          <w:rFonts w:cs="Arial"/>
          <w:szCs w:val="20"/>
        </w:rPr>
        <w:t>sind</w:t>
      </w:r>
      <w:r>
        <w:rPr>
          <w:rFonts w:cs="Arial"/>
          <w:szCs w:val="20"/>
        </w:rPr>
        <w:t xml:space="preserve"> die Vorgabe</w:t>
      </w:r>
      <w:r w:rsidR="00226367">
        <w:rPr>
          <w:rFonts w:cs="Arial"/>
          <w:szCs w:val="20"/>
        </w:rPr>
        <w:t>n</w:t>
      </w:r>
      <w:r>
        <w:rPr>
          <w:rFonts w:cs="Arial"/>
          <w:szCs w:val="20"/>
        </w:rPr>
        <w:t xml:space="preserve"> für die Berechnung der Nettoeinnahmen definiert:</w:t>
      </w:r>
    </w:p>
    <w:p w14:paraId="1FC9CF1D" w14:textId="77777777" w:rsidR="00FC725B" w:rsidRDefault="00FC725B" w:rsidP="00C12335">
      <w:pPr>
        <w:pStyle w:val="Listenabsatz"/>
        <w:numPr>
          <w:ilvl w:val="0"/>
          <w:numId w:val="5"/>
        </w:numPr>
        <w:rPr>
          <w:rFonts w:cs="Arial"/>
          <w:szCs w:val="20"/>
        </w:rPr>
      </w:pPr>
      <w:r w:rsidRPr="005221B3">
        <w:rPr>
          <w:rFonts w:cs="Arial"/>
          <w:szCs w:val="20"/>
        </w:rPr>
        <w:t xml:space="preserve">Gemäß Art. 15 VO (EU) Nr. 480/2014 werden die </w:t>
      </w:r>
      <w:r w:rsidRPr="00D67025">
        <w:rPr>
          <w:rFonts w:cs="Arial"/>
          <w:szCs w:val="20"/>
          <w:u w:val="single"/>
        </w:rPr>
        <w:t>abgezinsten</w:t>
      </w:r>
      <w:r w:rsidRPr="005221B3">
        <w:rPr>
          <w:rFonts w:cs="Arial"/>
          <w:szCs w:val="20"/>
        </w:rPr>
        <w:t xml:space="preserve"> </w:t>
      </w:r>
      <w:r w:rsidRPr="002D2198">
        <w:rPr>
          <w:rFonts w:cs="Arial"/>
          <w:szCs w:val="20"/>
          <w:u w:val="single"/>
        </w:rPr>
        <w:t>Nettoeinnahmen</w:t>
      </w:r>
      <w:r w:rsidRPr="005221B3">
        <w:rPr>
          <w:rFonts w:cs="Arial"/>
          <w:szCs w:val="20"/>
        </w:rPr>
        <w:t xml:space="preserve"> berechnet, indem die abgezinsten </w:t>
      </w:r>
      <w:r w:rsidR="0053556D" w:rsidRPr="002D2198">
        <w:rPr>
          <w:rFonts w:cs="Arial"/>
          <w:szCs w:val="20"/>
          <w:u w:val="single"/>
        </w:rPr>
        <w:t>Betriebsk</w:t>
      </w:r>
      <w:r w:rsidRPr="002D2198">
        <w:rPr>
          <w:rFonts w:cs="Arial"/>
          <w:szCs w:val="20"/>
          <w:u w:val="single"/>
        </w:rPr>
        <w:t>osten</w:t>
      </w:r>
      <w:r w:rsidRPr="005221B3">
        <w:rPr>
          <w:rFonts w:cs="Arial"/>
          <w:szCs w:val="20"/>
        </w:rPr>
        <w:t xml:space="preserve"> (vgl. Art. 17 VO (EU) Nr. 480/2014) von den abgezinsten </w:t>
      </w:r>
      <w:r w:rsidR="0053556D" w:rsidRPr="00C60F85">
        <w:rPr>
          <w:rFonts w:cs="Arial"/>
          <w:szCs w:val="20"/>
          <w:u w:val="single"/>
        </w:rPr>
        <w:t>Bruttoe</w:t>
      </w:r>
      <w:r w:rsidRPr="00C60F85">
        <w:rPr>
          <w:rFonts w:cs="Arial"/>
          <w:szCs w:val="20"/>
          <w:u w:val="single"/>
        </w:rPr>
        <w:t>innahmen</w:t>
      </w:r>
      <w:r w:rsidRPr="005221B3">
        <w:rPr>
          <w:rFonts w:cs="Arial"/>
          <w:szCs w:val="20"/>
        </w:rPr>
        <w:t xml:space="preserve"> (vgl. Art. 16 VO (EU) Nr. 480/2014) abgezogen werden und gegebenenfalls der </w:t>
      </w:r>
      <w:r w:rsidR="0053556D">
        <w:rPr>
          <w:rFonts w:cs="Arial"/>
          <w:szCs w:val="20"/>
        </w:rPr>
        <w:t xml:space="preserve">abgezinste </w:t>
      </w:r>
      <w:r w:rsidRPr="002D2198">
        <w:rPr>
          <w:rFonts w:cs="Arial"/>
          <w:szCs w:val="20"/>
          <w:u w:val="single"/>
        </w:rPr>
        <w:t>Restwert der Investition</w:t>
      </w:r>
      <w:r w:rsidRPr="005221B3">
        <w:rPr>
          <w:rFonts w:cs="Arial"/>
          <w:szCs w:val="20"/>
        </w:rPr>
        <w:t xml:space="preserve"> (vgl. Art. 18 VO (EU) Nr. 480/2014) addiert wird. </w:t>
      </w:r>
    </w:p>
    <w:p w14:paraId="1C1B4FF2" w14:textId="77777777" w:rsidR="00BB7E09" w:rsidRDefault="00BB7E09" w:rsidP="00BB7E09">
      <w:pPr>
        <w:pStyle w:val="Listenabsatz"/>
        <w:rPr>
          <w:rFonts w:cs="Arial"/>
          <w:szCs w:val="20"/>
        </w:rPr>
      </w:pPr>
    </w:p>
    <w:p w14:paraId="5ED6CA88" w14:textId="77777777" w:rsidR="00D67025" w:rsidRPr="00D67025" w:rsidRDefault="00D67025" w:rsidP="00BB7E09">
      <w:pPr>
        <w:pStyle w:val="Listenabsatz"/>
        <w:rPr>
          <w:rFonts w:cs="Arial"/>
          <w:b/>
          <w:szCs w:val="20"/>
        </w:rPr>
      </w:pPr>
      <w:r w:rsidRPr="00D67025">
        <w:rPr>
          <w:rFonts w:cs="Arial"/>
          <w:b/>
          <w:szCs w:val="20"/>
        </w:rPr>
        <w:t xml:space="preserve">Begriffsdefinitionen: </w:t>
      </w:r>
    </w:p>
    <w:p w14:paraId="7124B884" w14:textId="77777777" w:rsidR="00D67025" w:rsidRDefault="00D67025" w:rsidP="00BB7E09">
      <w:pPr>
        <w:pStyle w:val="Listenabsatz"/>
        <w:rPr>
          <w:rFonts w:cs="Arial"/>
          <w:szCs w:val="20"/>
        </w:rPr>
      </w:pPr>
    </w:p>
    <w:p w14:paraId="28C79C7C" w14:textId="77777777" w:rsidR="00CF40F8" w:rsidRDefault="00CF40F8" w:rsidP="009E49E7">
      <w:pPr>
        <w:pStyle w:val="Listenabsatz"/>
        <w:rPr>
          <w:rFonts w:cs="Arial"/>
          <w:szCs w:val="20"/>
        </w:rPr>
      </w:pPr>
      <w:r w:rsidRPr="00D67025">
        <w:rPr>
          <w:rFonts w:cs="Arial"/>
          <w:szCs w:val="20"/>
          <w:u w:val="single"/>
        </w:rPr>
        <w:t>Abzinsung:</w:t>
      </w:r>
      <w:r>
        <w:rPr>
          <w:rFonts w:cs="Arial"/>
          <w:szCs w:val="20"/>
        </w:rPr>
        <w:t xml:space="preserve"> </w:t>
      </w:r>
      <w:r w:rsidRPr="005221B3">
        <w:rPr>
          <w:rFonts w:cs="Arial"/>
          <w:szCs w:val="20"/>
        </w:rPr>
        <w:t>Der Abzinsungssatz beträgt real 4%</w:t>
      </w:r>
      <w:r>
        <w:rPr>
          <w:rFonts w:cs="Arial"/>
          <w:szCs w:val="20"/>
        </w:rPr>
        <w:t>/Jahr</w:t>
      </w:r>
      <w:r w:rsidRPr="005221B3">
        <w:rPr>
          <w:rFonts w:cs="Arial"/>
          <w:szCs w:val="20"/>
        </w:rPr>
        <w:t xml:space="preserve"> (vgl. Art. 19 VO (EU) Nr. 480/2014). </w:t>
      </w:r>
      <w:r w:rsidR="009E49E7">
        <w:rPr>
          <w:rFonts w:cs="Arial"/>
          <w:szCs w:val="20"/>
        </w:rPr>
        <w:t xml:space="preserve">Dieser Wert wird im Formblatt </w:t>
      </w:r>
      <w:r w:rsidR="009E49E7" w:rsidRPr="006073EE">
        <w:rPr>
          <w:rFonts w:cs="Arial"/>
          <w:szCs w:val="20"/>
        </w:rPr>
        <w:t>zur Ermittlung der Nettoeinnahmen</w:t>
      </w:r>
      <w:r w:rsidR="004613E1">
        <w:rPr>
          <w:rFonts w:cs="Arial"/>
          <w:szCs w:val="20"/>
        </w:rPr>
        <w:t xml:space="preserve"> </w:t>
      </w:r>
      <w:r w:rsidR="00984AA0">
        <w:rPr>
          <w:rFonts w:cs="Arial"/>
          <w:szCs w:val="20"/>
        </w:rPr>
        <w:t xml:space="preserve">für einnahmenschaffende Projekte im Sinne des Art. 61 der VO (EU) 1303/2013 </w:t>
      </w:r>
      <w:r w:rsidR="004613E1">
        <w:rPr>
          <w:rFonts w:cs="Arial"/>
          <w:szCs w:val="20"/>
        </w:rPr>
        <w:t>standardmäßig bereits vorgegeben.</w:t>
      </w:r>
    </w:p>
    <w:p w14:paraId="0CCB16B2" w14:textId="77777777" w:rsidR="008D2ED0" w:rsidRDefault="008D2ED0" w:rsidP="00BB7E09">
      <w:pPr>
        <w:pStyle w:val="Listenabsatz"/>
        <w:rPr>
          <w:rFonts w:cs="Arial"/>
          <w:szCs w:val="20"/>
        </w:rPr>
      </w:pPr>
    </w:p>
    <w:p w14:paraId="66324F60" w14:textId="77777777" w:rsidR="00BB7E09" w:rsidRDefault="002D2198" w:rsidP="00BB7E09">
      <w:pPr>
        <w:pStyle w:val="Listenabsatz"/>
        <w:rPr>
          <w:rFonts w:cs="Arial"/>
          <w:szCs w:val="20"/>
        </w:rPr>
      </w:pPr>
      <w:r>
        <w:rPr>
          <w:rFonts w:cs="Arial"/>
          <w:szCs w:val="20"/>
        </w:rPr>
        <w:t xml:space="preserve">Die </w:t>
      </w:r>
      <w:r w:rsidR="00BB7E09" w:rsidRPr="002D2198">
        <w:rPr>
          <w:rFonts w:cs="Arial"/>
          <w:szCs w:val="20"/>
          <w:u w:val="single"/>
        </w:rPr>
        <w:t>Nettoeinnahmen</w:t>
      </w:r>
      <w:r w:rsidR="00BB7E09">
        <w:rPr>
          <w:rFonts w:cs="Arial"/>
          <w:szCs w:val="20"/>
        </w:rPr>
        <w:t xml:space="preserve"> wurden bereits im Absatz „Definition der Nettoeinnahmen“ beschrieben.</w:t>
      </w:r>
    </w:p>
    <w:p w14:paraId="331C163A" w14:textId="77777777" w:rsidR="00CF0BEC" w:rsidRDefault="00CF0BEC" w:rsidP="00BB7E09">
      <w:pPr>
        <w:pStyle w:val="Listenabsatz"/>
        <w:rPr>
          <w:rFonts w:cs="Arial"/>
          <w:szCs w:val="20"/>
        </w:rPr>
      </w:pPr>
    </w:p>
    <w:p w14:paraId="578D8EAD" w14:textId="08C33311" w:rsidR="009641E1" w:rsidRDefault="00CF0BEC" w:rsidP="00BB7E09">
      <w:pPr>
        <w:pStyle w:val="Listenabsatz"/>
        <w:rPr>
          <w:rFonts w:cs="Arial"/>
          <w:szCs w:val="20"/>
        </w:rPr>
      </w:pPr>
      <w:r>
        <w:rPr>
          <w:rFonts w:cs="Arial"/>
          <w:szCs w:val="20"/>
        </w:rPr>
        <w:t xml:space="preserve">Zu den </w:t>
      </w:r>
      <w:r w:rsidRPr="00B34F90">
        <w:rPr>
          <w:rFonts w:cs="Arial"/>
          <w:szCs w:val="20"/>
          <w:u w:val="single"/>
        </w:rPr>
        <w:t>Betriebs</w:t>
      </w:r>
      <w:r w:rsidR="002D2198" w:rsidRPr="00B34F90">
        <w:rPr>
          <w:rFonts w:cs="Arial"/>
          <w:szCs w:val="20"/>
          <w:u w:val="single"/>
        </w:rPr>
        <w:t>kosten</w:t>
      </w:r>
      <w:r>
        <w:rPr>
          <w:rFonts w:cs="Arial"/>
          <w:szCs w:val="20"/>
        </w:rPr>
        <w:t xml:space="preserve"> </w:t>
      </w:r>
      <w:r w:rsidR="009641E1">
        <w:rPr>
          <w:rFonts w:cs="Arial"/>
          <w:szCs w:val="20"/>
        </w:rPr>
        <w:t xml:space="preserve">zählen die </w:t>
      </w:r>
      <w:r w:rsidR="009641E1" w:rsidRPr="009641E1">
        <w:rPr>
          <w:rFonts w:cs="Arial"/>
          <w:szCs w:val="20"/>
        </w:rPr>
        <w:t xml:space="preserve">Kosten für den </w:t>
      </w:r>
      <w:r w:rsidR="009641E1">
        <w:rPr>
          <w:rFonts w:cs="Arial"/>
          <w:szCs w:val="20"/>
        </w:rPr>
        <w:t xml:space="preserve">lfd. </w:t>
      </w:r>
      <w:r w:rsidR="009641E1" w:rsidRPr="009641E1">
        <w:rPr>
          <w:rFonts w:cs="Arial"/>
          <w:szCs w:val="20"/>
        </w:rPr>
        <w:t xml:space="preserve">Betrieb </w:t>
      </w:r>
      <w:r w:rsidR="009641E1">
        <w:rPr>
          <w:rFonts w:cs="Arial"/>
          <w:szCs w:val="20"/>
        </w:rPr>
        <w:t>wie bspw. regelmäßige</w:t>
      </w:r>
      <w:r w:rsidR="009641E1" w:rsidRPr="000216A5">
        <w:rPr>
          <w:rFonts w:cs="Arial"/>
          <w:szCs w:val="20"/>
        </w:rPr>
        <w:t xml:space="preserve"> und außerordentliche</w:t>
      </w:r>
      <w:r w:rsidR="009641E1">
        <w:rPr>
          <w:rFonts w:cs="Arial"/>
          <w:szCs w:val="20"/>
        </w:rPr>
        <w:t xml:space="preserve"> </w:t>
      </w:r>
      <w:r w:rsidR="009641E1" w:rsidRPr="009641E1">
        <w:rPr>
          <w:rFonts w:cs="Arial"/>
          <w:szCs w:val="20"/>
        </w:rPr>
        <w:t>Wartungs- und Instandhaltungskosten</w:t>
      </w:r>
      <w:r w:rsidR="009641E1">
        <w:rPr>
          <w:rFonts w:cs="Arial"/>
          <w:szCs w:val="20"/>
        </w:rPr>
        <w:t>,</w:t>
      </w:r>
      <w:r w:rsidR="009641E1" w:rsidRPr="009641E1">
        <w:rPr>
          <w:rFonts w:cs="Arial"/>
          <w:szCs w:val="20"/>
        </w:rPr>
        <w:t xml:space="preserve"> </w:t>
      </w:r>
      <w:r>
        <w:rPr>
          <w:rFonts w:cs="Arial"/>
          <w:szCs w:val="20"/>
        </w:rPr>
        <w:t>Wiederbeschaffungskosten für Anlagegüter</w:t>
      </w:r>
      <w:r w:rsidR="00314A61">
        <w:rPr>
          <w:rFonts w:cs="Arial"/>
          <w:szCs w:val="20"/>
        </w:rPr>
        <w:t xml:space="preserve"> mit kurzer Nutzungsdauer</w:t>
      </w:r>
      <w:r>
        <w:rPr>
          <w:rFonts w:cs="Arial"/>
          <w:szCs w:val="20"/>
        </w:rPr>
        <w:t xml:space="preserve">, Personal-, Management- Verwaltungs- und Versicherungskosten, sowie Kosten </w:t>
      </w:r>
      <w:r w:rsidR="002D2198">
        <w:rPr>
          <w:rFonts w:cs="Arial"/>
          <w:szCs w:val="20"/>
        </w:rPr>
        <w:t>für Verbrauchsgüter (Energie, Rohstoffe etc.).</w:t>
      </w:r>
    </w:p>
    <w:p w14:paraId="6CA77A5B" w14:textId="740AF17C" w:rsidR="00BB7E09" w:rsidRDefault="002D2198" w:rsidP="00BB7E09">
      <w:pPr>
        <w:pStyle w:val="Listenabsatz"/>
        <w:rPr>
          <w:rFonts w:cs="Arial"/>
          <w:szCs w:val="20"/>
        </w:rPr>
      </w:pPr>
      <w:r>
        <w:rPr>
          <w:rFonts w:cs="Arial"/>
          <w:szCs w:val="20"/>
        </w:rPr>
        <w:t xml:space="preserve">Nicht im </w:t>
      </w:r>
      <w:r w:rsidRPr="005221B3">
        <w:rPr>
          <w:rFonts w:cs="Arial"/>
          <w:szCs w:val="20"/>
        </w:rPr>
        <w:t>Art. 17 VO (EU) Nr. 480/2014</w:t>
      </w:r>
      <w:r w:rsidR="00CF0BEC">
        <w:rPr>
          <w:rFonts w:cs="Arial"/>
          <w:szCs w:val="20"/>
        </w:rPr>
        <w:t xml:space="preserve"> </w:t>
      </w:r>
      <w:r w:rsidR="00314A61">
        <w:rPr>
          <w:rFonts w:cs="Arial"/>
          <w:szCs w:val="20"/>
        </w:rPr>
        <w:t xml:space="preserve">angeführt </w:t>
      </w:r>
      <w:r>
        <w:rPr>
          <w:rFonts w:cs="Arial"/>
          <w:szCs w:val="20"/>
        </w:rPr>
        <w:t>sind jedoch Abschreibungen und Finanzierungskosten.</w:t>
      </w:r>
      <w:r w:rsidR="00314A61">
        <w:rPr>
          <w:rFonts w:cs="Arial"/>
          <w:szCs w:val="20"/>
        </w:rPr>
        <w:t xml:space="preserve"> Sie sind daher nicht zu berücksichtigen.</w:t>
      </w:r>
      <w:r w:rsidR="00984AA0">
        <w:rPr>
          <w:rFonts w:cs="Arial"/>
          <w:szCs w:val="20"/>
        </w:rPr>
        <w:t xml:space="preserve"> Die Betriebskosten sind im Formblatt zur Ermittlung der Nettoeinnahmen für einnahmenschaffende Projekte im Sinne des Art. 61 der VO (EU) 1303/2013 für den jeweiligen Bezugszeitraum zu erfassen.</w:t>
      </w:r>
      <w:r w:rsidR="00C92C0E">
        <w:rPr>
          <w:rFonts w:cs="Arial"/>
          <w:szCs w:val="20"/>
        </w:rPr>
        <w:t xml:space="preserve"> </w:t>
      </w:r>
    </w:p>
    <w:p w14:paraId="700DEA65" w14:textId="77777777" w:rsidR="00CF40F8" w:rsidRDefault="00CF40F8" w:rsidP="00BB7E09">
      <w:pPr>
        <w:pStyle w:val="Listenabsatz"/>
        <w:rPr>
          <w:rFonts w:cs="Arial"/>
          <w:szCs w:val="20"/>
        </w:rPr>
      </w:pPr>
    </w:p>
    <w:p w14:paraId="60E60FEA" w14:textId="77777777" w:rsidR="002D2198" w:rsidRDefault="00D6201A" w:rsidP="00BB7E09">
      <w:pPr>
        <w:pStyle w:val="Listenabsatz"/>
        <w:rPr>
          <w:rFonts w:cs="Arial"/>
          <w:szCs w:val="20"/>
        </w:rPr>
      </w:pPr>
      <w:r>
        <w:rPr>
          <w:rFonts w:cs="Arial"/>
          <w:szCs w:val="20"/>
        </w:rPr>
        <w:lastRenderedPageBreak/>
        <w:t xml:space="preserve">Unter </w:t>
      </w:r>
      <w:r w:rsidRPr="003F3179">
        <w:rPr>
          <w:rFonts w:cs="Arial"/>
          <w:szCs w:val="20"/>
          <w:u w:val="single"/>
        </w:rPr>
        <w:t>Bruttoeinnahmen</w:t>
      </w:r>
      <w:r>
        <w:rPr>
          <w:rFonts w:cs="Arial"/>
          <w:szCs w:val="20"/>
        </w:rPr>
        <w:t xml:space="preserve"> sind die </w:t>
      </w:r>
      <w:r w:rsidRPr="001E6599">
        <w:rPr>
          <w:rFonts w:cs="Arial"/>
          <w:szCs w:val="20"/>
        </w:rPr>
        <w:t>Zuflüsse von Geldbeträgen, die unmittelbar von den Nutzern für die im Rahmen des Vorhabens bereitgestellten Waren und Dienstleistungen gezahlt werden</w:t>
      </w:r>
      <w:r>
        <w:rPr>
          <w:rFonts w:cs="Arial"/>
          <w:szCs w:val="20"/>
        </w:rPr>
        <w:t xml:space="preserve"> zu verstehen. Wenn von den Bruttoeinnahmen die Betriebskosten abgezogen werden erhält man die Nettoeinnahmen</w:t>
      </w:r>
    </w:p>
    <w:p w14:paraId="74FD5B26" w14:textId="77777777" w:rsidR="001E022D" w:rsidRDefault="001E022D" w:rsidP="00BB7E09">
      <w:pPr>
        <w:pStyle w:val="Listenabsatz"/>
        <w:rPr>
          <w:rFonts w:cs="Arial"/>
          <w:szCs w:val="20"/>
        </w:rPr>
      </w:pPr>
    </w:p>
    <w:p w14:paraId="369EA429" w14:textId="77777777" w:rsidR="006073EE" w:rsidRDefault="002D2198" w:rsidP="003073A9">
      <w:pPr>
        <w:pStyle w:val="Listenabsatz"/>
        <w:rPr>
          <w:rFonts w:cs="Arial"/>
          <w:szCs w:val="20"/>
        </w:rPr>
      </w:pPr>
      <w:r>
        <w:rPr>
          <w:rFonts w:cs="Arial"/>
          <w:szCs w:val="20"/>
        </w:rPr>
        <w:t xml:space="preserve">Der </w:t>
      </w:r>
      <w:r w:rsidRPr="002D2198">
        <w:rPr>
          <w:rFonts w:cs="Arial"/>
          <w:szCs w:val="20"/>
          <w:u w:val="single"/>
        </w:rPr>
        <w:t>Restwert der Investition</w:t>
      </w:r>
      <w:r>
        <w:rPr>
          <w:rFonts w:cs="Arial"/>
          <w:szCs w:val="20"/>
        </w:rPr>
        <w:t xml:space="preserve"> ergibt sich aus der Differenz der wirtschaftlichen Nutzungsdauer der Investition und dem Bezugszeitraum</w:t>
      </w:r>
      <w:r w:rsidR="00314A61">
        <w:rPr>
          <w:rFonts w:cs="Arial"/>
          <w:szCs w:val="20"/>
        </w:rPr>
        <w:t>,</w:t>
      </w:r>
      <w:r>
        <w:rPr>
          <w:rFonts w:cs="Arial"/>
          <w:szCs w:val="20"/>
        </w:rPr>
        <w:t xml:space="preserve"> für den die Nettoeinnahmen gesch</w:t>
      </w:r>
      <w:r w:rsidR="006E5D2C">
        <w:rPr>
          <w:rFonts w:cs="Arial"/>
          <w:szCs w:val="20"/>
        </w:rPr>
        <w:t>ätzt wurden</w:t>
      </w:r>
      <w:r w:rsidR="00D6201A">
        <w:rPr>
          <w:rFonts w:cs="Arial"/>
          <w:szCs w:val="20"/>
        </w:rPr>
        <w:t>,</w:t>
      </w:r>
      <w:r w:rsidR="005868EC">
        <w:rPr>
          <w:rFonts w:cs="Arial"/>
          <w:szCs w:val="20"/>
        </w:rPr>
        <w:t xml:space="preserve"> </w:t>
      </w:r>
      <w:r w:rsidR="006073EE">
        <w:rPr>
          <w:rFonts w:cs="Arial"/>
          <w:szCs w:val="20"/>
        </w:rPr>
        <w:t xml:space="preserve">wenn die wirtschaftliche Nutzungsdauer </w:t>
      </w:r>
      <w:r w:rsidR="006E5D2C">
        <w:rPr>
          <w:rFonts w:cs="Arial"/>
          <w:szCs w:val="20"/>
        </w:rPr>
        <w:t xml:space="preserve">der Investition </w:t>
      </w:r>
      <w:r w:rsidR="006073EE">
        <w:rPr>
          <w:rFonts w:cs="Arial"/>
          <w:szCs w:val="20"/>
        </w:rPr>
        <w:t xml:space="preserve">den Bezugszeitraum </w:t>
      </w:r>
      <w:r w:rsidR="00CC3148">
        <w:rPr>
          <w:rFonts w:cs="Arial"/>
          <w:szCs w:val="20"/>
        </w:rPr>
        <w:t xml:space="preserve">der Nettoeinnahmen </w:t>
      </w:r>
      <w:r w:rsidR="006073EE">
        <w:rPr>
          <w:rFonts w:cs="Arial"/>
          <w:szCs w:val="20"/>
        </w:rPr>
        <w:t>übersteigt</w:t>
      </w:r>
      <w:r w:rsidR="00A4632E">
        <w:rPr>
          <w:rFonts w:cs="Arial"/>
          <w:szCs w:val="20"/>
        </w:rPr>
        <w:t xml:space="preserve">. Er muss nur dann als Einnahme ins Formblatt </w:t>
      </w:r>
      <w:r w:rsidR="00CC3148">
        <w:rPr>
          <w:rFonts w:cs="Arial"/>
          <w:szCs w:val="20"/>
        </w:rPr>
        <w:t>„</w:t>
      </w:r>
      <w:r w:rsidR="00A4632E">
        <w:rPr>
          <w:rFonts w:cs="Arial"/>
          <w:szCs w:val="20"/>
        </w:rPr>
        <w:t>Ermittlung der Nettoeinnahme</w:t>
      </w:r>
      <w:r w:rsidR="00CC3148">
        <w:rPr>
          <w:rFonts w:cs="Arial"/>
          <w:szCs w:val="20"/>
        </w:rPr>
        <w:t>n“</w:t>
      </w:r>
      <w:r w:rsidR="00A4632E">
        <w:rPr>
          <w:rFonts w:cs="Arial"/>
          <w:szCs w:val="20"/>
        </w:rPr>
        <w:t xml:space="preserve"> eingetragen </w:t>
      </w:r>
      <w:r w:rsidR="00CC3148">
        <w:rPr>
          <w:rFonts w:cs="Arial"/>
          <w:szCs w:val="20"/>
        </w:rPr>
        <w:t>und berücksichtigt werden</w:t>
      </w:r>
      <w:r w:rsidR="00A4632E">
        <w:rPr>
          <w:rFonts w:cs="Arial"/>
          <w:szCs w:val="20"/>
        </w:rPr>
        <w:t>, wenn im Bezugszeitraum die abgezinsten Nettoeinnahmen positiv sind.</w:t>
      </w:r>
      <w:r w:rsidR="00D6201A">
        <w:rPr>
          <w:rFonts w:cs="Arial"/>
          <w:szCs w:val="20"/>
        </w:rPr>
        <w:t xml:space="preserve"> </w:t>
      </w:r>
    </w:p>
    <w:p w14:paraId="7F0C8D56" w14:textId="77777777" w:rsidR="00A4632E" w:rsidRPr="003073A9" w:rsidRDefault="00A4632E" w:rsidP="003073A9">
      <w:pPr>
        <w:pStyle w:val="Listenabsatz"/>
        <w:rPr>
          <w:rFonts w:cs="Arial"/>
          <w:szCs w:val="20"/>
        </w:rPr>
      </w:pPr>
    </w:p>
    <w:p w14:paraId="1F971148" w14:textId="77777777" w:rsidR="00A23802" w:rsidRDefault="00A23802" w:rsidP="00BB7E09">
      <w:pPr>
        <w:pStyle w:val="Listenabsatz"/>
        <w:rPr>
          <w:rFonts w:cs="Arial"/>
          <w:szCs w:val="20"/>
        </w:rPr>
      </w:pPr>
      <w:r>
        <w:rPr>
          <w:rFonts w:cs="Arial"/>
          <w:szCs w:val="20"/>
        </w:rPr>
        <w:t xml:space="preserve">Die </w:t>
      </w:r>
      <w:r w:rsidRPr="00C60F85">
        <w:rPr>
          <w:rFonts w:cs="Arial"/>
          <w:szCs w:val="20"/>
          <w:u w:val="single"/>
        </w:rPr>
        <w:t>Bruttoeinnahmen</w:t>
      </w:r>
      <w:r>
        <w:rPr>
          <w:rFonts w:cs="Arial"/>
          <w:szCs w:val="20"/>
        </w:rPr>
        <w:t xml:space="preserve">, die Betriebskosten sowie gegebenenfalls der Restwert der Investition sind auf den Zeitpunkt der Erstinvestition </w:t>
      </w:r>
      <w:r w:rsidRPr="00A23802">
        <w:rPr>
          <w:rFonts w:cs="Arial"/>
          <w:szCs w:val="20"/>
          <w:u w:val="single"/>
        </w:rPr>
        <w:t>abzuzinsen</w:t>
      </w:r>
      <w:r>
        <w:rPr>
          <w:rFonts w:cs="Arial"/>
          <w:szCs w:val="20"/>
        </w:rPr>
        <w:t xml:space="preserve">. </w:t>
      </w:r>
      <w:r w:rsidR="00105F58">
        <w:rPr>
          <w:rFonts w:cs="Arial"/>
          <w:szCs w:val="20"/>
        </w:rPr>
        <w:t xml:space="preserve">Als Zeitpunkt der Erstinvestition wird der Beginn des Vorhabens festgelegt. </w:t>
      </w:r>
    </w:p>
    <w:p w14:paraId="017EC682" w14:textId="77777777" w:rsidR="00A175BC" w:rsidRDefault="00A175BC" w:rsidP="00BB7E09">
      <w:pPr>
        <w:pStyle w:val="Listenabsatz"/>
        <w:rPr>
          <w:rFonts w:cs="Arial"/>
          <w:szCs w:val="20"/>
        </w:rPr>
      </w:pPr>
    </w:p>
    <w:p w14:paraId="77922A69" w14:textId="77777777" w:rsidR="00A23802" w:rsidRDefault="00A23802" w:rsidP="00BB7E09">
      <w:pPr>
        <w:pStyle w:val="Listenabsatz"/>
        <w:rPr>
          <w:rFonts w:cs="Arial"/>
          <w:szCs w:val="20"/>
        </w:rPr>
      </w:pPr>
    </w:p>
    <w:p w14:paraId="3D71FF66" w14:textId="77777777" w:rsidR="00FC725B" w:rsidRDefault="00FC725B" w:rsidP="00A23802">
      <w:pPr>
        <w:pStyle w:val="Listenabsatz"/>
        <w:rPr>
          <w:rFonts w:cs="Arial"/>
          <w:szCs w:val="20"/>
        </w:rPr>
      </w:pPr>
      <w:r w:rsidRPr="005221B3">
        <w:rPr>
          <w:rFonts w:cs="Arial"/>
          <w:szCs w:val="20"/>
        </w:rPr>
        <w:t xml:space="preserve">Die </w:t>
      </w:r>
      <w:r w:rsidR="00C60F85">
        <w:rPr>
          <w:rFonts w:cs="Arial"/>
          <w:szCs w:val="20"/>
        </w:rPr>
        <w:t>Betriebskosten</w:t>
      </w:r>
      <w:r w:rsidR="00C60F85" w:rsidRPr="005221B3">
        <w:rPr>
          <w:rFonts w:cs="Arial"/>
          <w:szCs w:val="20"/>
        </w:rPr>
        <w:t xml:space="preserve"> </w:t>
      </w:r>
      <w:r w:rsidRPr="005221B3">
        <w:rPr>
          <w:rFonts w:cs="Arial"/>
          <w:szCs w:val="20"/>
        </w:rPr>
        <w:t xml:space="preserve">und </w:t>
      </w:r>
      <w:r w:rsidR="00C60F85">
        <w:rPr>
          <w:rFonts w:cs="Arial"/>
          <w:szCs w:val="20"/>
        </w:rPr>
        <w:t>Bruttoe</w:t>
      </w:r>
      <w:r w:rsidRPr="005221B3">
        <w:rPr>
          <w:rFonts w:cs="Arial"/>
          <w:szCs w:val="20"/>
        </w:rPr>
        <w:t xml:space="preserve">innahmen nach Abschluss des Vorhabens werden bis zum Ende des </w:t>
      </w:r>
      <w:r w:rsidRPr="00A23802">
        <w:rPr>
          <w:rFonts w:cs="Arial"/>
          <w:szCs w:val="20"/>
          <w:u w:val="single"/>
        </w:rPr>
        <w:t>Bezugszeitraumes</w:t>
      </w:r>
      <w:r w:rsidRPr="005221B3">
        <w:rPr>
          <w:rFonts w:cs="Arial"/>
          <w:szCs w:val="20"/>
        </w:rPr>
        <w:t xml:space="preserve"> berücksichtigt, der im Anhang I der VO (EU) Nr. 480/2014 für die Sektoren bzw. Teilsektoren festgelegt wurde</w:t>
      </w:r>
      <w:r w:rsidR="00213886">
        <w:rPr>
          <w:rFonts w:cs="Arial"/>
          <w:szCs w:val="20"/>
        </w:rPr>
        <w:t xml:space="preserve"> (siehe Tabelle 2)</w:t>
      </w:r>
      <w:r w:rsidRPr="005221B3">
        <w:rPr>
          <w:rFonts w:cs="Arial"/>
          <w:szCs w:val="20"/>
        </w:rPr>
        <w:t xml:space="preserve">. </w:t>
      </w:r>
      <w:r w:rsidR="0006320E">
        <w:rPr>
          <w:rFonts w:cs="Arial"/>
          <w:szCs w:val="20"/>
        </w:rPr>
        <w:t>Für a</w:t>
      </w:r>
      <w:r w:rsidR="00C60F85">
        <w:rPr>
          <w:rFonts w:cs="Arial"/>
          <w:szCs w:val="20"/>
        </w:rPr>
        <w:t xml:space="preserve">lle Vorhaben, die </w:t>
      </w:r>
      <w:r w:rsidR="0006320E">
        <w:rPr>
          <w:rFonts w:cs="Arial"/>
          <w:szCs w:val="20"/>
        </w:rPr>
        <w:t xml:space="preserve">keinem der genannten Sektoren zuzuordnen sind, ist der </w:t>
      </w:r>
      <w:r w:rsidR="00213886">
        <w:rPr>
          <w:rFonts w:cs="Arial"/>
          <w:szCs w:val="20"/>
        </w:rPr>
        <w:t>„</w:t>
      </w:r>
      <w:r w:rsidR="0006320E">
        <w:rPr>
          <w:rFonts w:cs="Arial"/>
          <w:szCs w:val="20"/>
        </w:rPr>
        <w:t>Bezugszeitraum für sonstige Sektoren</w:t>
      </w:r>
      <w:r w:rsidR="00213886">
        <w:rPr>
          <w:rFonts w:cs="Arial"/>
          <w:szCs w:val="20"/>
        </w:rPr>
        <w:t>“</w:t>
      </w:r>
      <w:r w:rsidR="0006320E">
        <w:rPr>
          <w:rFonts w:cs="Arial"/>
          <w:szCs w:val="20"/>
        </w:rPr>
        <w:t xml:space="preserve"> heranzuziehen (Vorhaben aus dem Bereich Dorferneuerung, Naturschutz etc.)</w:t>
      </w:r>
    </w:p>
    <w:p w14:paraId="595FB7CE" w14:textId="77777777" w:rsidR="00F41D75" w:rsidRDefault="00F41D75" w:rsidP="003851E2">
      <w:pPr>
        <w:rPr>
          <w:rFonts w:cs="Arial"/>
          <w:szCs w:val="20"/>
        </w:rPr>
      </w:pPr>
    </w:p>
    <w:p w14:paraId="481B4C2D" w14:textId="77777777" w:rsidR="00F41D75" w:rsidRPr="003851E2" w:rsidRDefault="00F41D75" w:rsidP="003851E2">
      <w:pPr>
        <w:rPr>
          <w:rFonts w:cs="Arial"/>
          <w:szCs w:val="20"/>
        </w:rPr>
      </w:pPr>
    </w:p>
    <w:p w14:paraId="5A463B3B" w14:textId="77777777" w:rsidR="003851E2" w:rsidRPr="00253A29" w:rsidRDefault="003851E2" w:rsidP="003851E2">
      <w:pPr>
        <w:ind w:left="360"/>
        <w:rPr>
          <w:rFonts w:cs="Arial"/>
          <w:szCs w:val="20"/>
        </w:rPr>
      </w:pPr>
      <w:r>
        <w:rPr>
          <w:rFonts w:cs="Arial"/>
          <w:szCs w:val="20"/>
        </w:rPr>
        <w:t xml:space="preserve">Tabelle </w:t>
      </w:r>
      <w:r w:rsidR="000D2900">
        <w:rPr>
          <w:rFonts w:cs="Arial"/>
          <w:szCs w:val="20"/>
        </w:rPr>
        <w:t>2</w:t>
      </w:r>
      <w:r>
        <w:rPr>
          <w:rFonts w:cs="Arial"/>
          <w:szCs w:val="20"/>
        </w:rPr>
        <w:t xml:space="preserve">: </w:t>
      </w:r>
      <w:r w:rsidR="0006320E">
        <w:rPr>
          <w:rFonts w:cs="Arial"/>
          <w:szCs w:val="20"/>
        </w:rPr>
        <w:t xml:space="preserve">Festgelegte </w:t>
      </w:r>
      <w:r w:rsidR="00C60F85">
        <w:rPr>
          <w:rFonts w:cs="Arial"/>
          <w:szCs w:val="20"/>
        </w:rPr>
        <w:t xml:space="preserve">Bezugszeiträume </w:t>
      </w:r>
    </w:p>
    <w:tbl>
      <w:tblPr>
        <w:tblStyle w:val="Tabellenraster"/>
        <w:tblW w:w="0" w:type="auto"/>
        <w:tblInd w:w="360" w:type="dxa"/>
        <w:tblLook w:val="04A0" w:firstRow="1" w:lastRow="0" w:firstColumn="1" w:lastColumn="0" w:noHBand="0" w:noVBand="1"/>
      </w:tblPr>
      <w:tblGrid>
        <w:gridCol w:w="4351"/>
        <w:gridCol w:w="4351"/>
      </w:tblGrid>
      <w:tr w:rsidR="007C5E33" w:rsidRPr="00BF3BA9" w14:paraId="6BE73398" w14:textId="77777777" w:rsidTr="009D5EF3">
        <w:tc>
          <w:tcPr>
            <w:tcW w:w="4351" w:type="dxa"/>
            <w:shd w:val="clear" w:color="auto" w:fill="C45911" w:themeFill="accent2" w:themeFillShade="BF"/>
          </w:tcPr>
          <w:p w14:paraId="535B1AF4" w14:textId="77777777" w:rsidR="007C5E33" w:rsidRPr="00BF3BA9" w:rsidRDefault="007C5E33" w:rsidP="009D5EF3">
            <w:pPr>
              <w:spacing w:before="40"/>
              <w:jc w:val="center"/>
              <w:rPr>
                <w:rFonts w:cs="Arial"/>
                <w:b/>
                <w:szCs w:val="20"/>
                <w:lang w:val="de-AT"/>
              </w:rPr>
            </w:pPr>
            <w:r w:rsidRPr="00BF3BA9">
              <w:rPr>
                <w:rFonts w:cs="Arial"/>
                <w:b/>
                <w:szCs w:val="20"/>
                <w:lang w:val="de-AT"/>
              </w:rPr>
              <w:t>Sektor</w:t>
            </w:r>
          </w:p>
        </w:tc>
        <w:tc>
          <w:tcPr>
            <w:tcW w:w="4351" w:type="dxa"/>
            <w:shd w:val="clear" w:color="auto" w:fill="C45911" w:themeFill="accent2" w:themeFillShade="BF"/>
          </w:tcPr>
          <w:p w14:paraId="6925D848" w14:textId="77777777" w:rsidR="007C5E33" w:rsidRPr="00BF3BA9" w:rsidRDefault="007C5E33" w:rsidP="009D5EF3">
            <w:pPr>
              <w:spacing w:before="40"/>
              <w:jc w:val="center"/>
              <w:rPr>
                <w:rFonts w:cs="Arial"/>
                <w:b/>
                <w:szCs w:val="20"/>
                <w:lang w:val="de-AT"/>
              </w:rPr>
            </w:pPr>
            <w:r w:rsidRPr="00BF3BA9">
              <w:rPr>
                <w:rFonts w:cs="Arial"/>
                <w:b/>
                <w:szCs w:val="20"/>
                <w:lang w:val="de-AT"/>
              </w:rPr>
              <w:t>Bezugszeitraum (Jahre)</w:t>
            </w:r>
          </w:p>
        </w:tc>
      </w:tr>
      <w:tr w:rsidR="007C5E33" w:rsidRPr="00BF3BA9" w14:paraId="15A68F53" w14:textId="77777777" w:rsidTr="009D5EF3">
        <w:trPr>
          <w:trHeight w:val="454"/>
        </w:trPr>
        <w:tc>
          <w:tcPr>
            <w:tcW w:w="4351" w:type="dxa"/>
            <w:vAlign w:val="center"/>
          </w:tcPr>
          <w:p w14:paraId="1FB34E93" w14:textId="77777777" w:rsidR="007C5E33" w:rsidRPr="00BF3BA9" w:rsidRDefault="001F123B" w:rsidP="009D5EF3">
            <w:pPr>
              <w:rPr>
                <w:rFonts w:cs="Arial"/>
                <w:szCs w:val="20"/>
                <w:lang w:val="de-AT"/>
              </w:rPr>
            </w:pPr>
            <w:r w:rsidRPr="00BF3BA9">
              <w:rPr>
                <w:rFonts w:cs="Arial"/>
                <w:szCs w:val="20"/>
                <w:lang w:val="de-AT"/>
              </w:rPr>
              <w:t>Schienenverkehr</w:t>
            </w:r>
          </w:p>
        </w:tc>
        <w:tc>
          <w:tcPr>
            <w:tcW w:w="4351" w:type="dxa"/>
            <w:vAlign w:val="center"/>
          </w:tcPr>
          <w:p w14:paraId="3CDA16B9" w14:textId="77777777" w:rsidR="007C5E33" w:rsidRPr="00BF3BA9" w:rsidRDefault="007C5E33" w:rsidP="007C5E33">
            <w:pPr>
              <w:jc w:val="center"/>
              <w:rPr>
                <w:rFonts w:cs="Arial"/>
                <w:szCs w:val="20"/>
                <w:lang w:val="de-AT"/>
              </w:rPr>
            </w:pPr>
            <w:r w:rsidRPr="00BF3BA9">
              <w:rPr>
                <w:rFonts w:cs="Arial"/>
                <w:szCs w:val="20"/>
                <w:lang w:val="de-AT"/>
              </w:rPr>
              <w:t>30</w:t>
            </w:r>
          </w:p>
        </w:tc>
      </w:tr>
      <w:tr w:rsidR="007C5E33" w:rsidRPr="00BF3BA9" w14:paraId="34C83C2C" w14:textId="77777777" w:rsidTr="009D5EF3">
        <w:trPr>
          <w:trHeight w:val="454"/>
        </w:trPr>
        <w:tc>
          <w:tcPr>
            <w:tcW w:w="4351" w:type="dxa"/>
            <w:vAlign w:val="center"/>
          </w:tcPr>
          <w:p w14:paraId="31D52E02" w14:textId="77777777" w:rsidR="007C5E33" w:rsidRPr="00BF3BA9" w:rsidRDefault="001F123B" w:rsidP="009D5EF3">
            <w:pPr>
              <w:rPr>
                <w:rFonts w:cs="Arial"/>
                <w:szCs w:val="20"/>
                <w:lang w:val="de-AT"/>
              </w:rPr>
            </w:pPr>
            <w:r w:rsidRPr="00BF3BA9">
              <w:rPr>
                <w:rFonts w:cs="Arial"/>
                <w:szCs w:val="20"/>
                <w:lang w:val="de-AT"/>
              </w:rPr>
              <w:t>Wasserversorgung /Abwasserentsorgung</w:t>
            </w:r>
          </w:p>
        </w:tc>
        <w:tc>
          <w:tcPr>
            <w:tcW w:w="4351" w:type="dxa"/>
            <w:vAlign w:val="center"/>
          </w:tcPr>
          <w:p w14:paraId="5A52C7CF" w14:textId="77777777" w:rsidR="007C5E33" w:rsidRPr="00BF3BA9" w:rsidRDefault="007C5E33" w:rsidP="009D5EF3">
            <w:pPr>
              <w:jc w:val="center"/>
              <w:rPr>
                <w:rFonts w:cs="Arial"/>
                <w:szCs w:val="20"/>
                <w:lang w:val="de-AT"/>
              </w:rPr>
            </w:pPr>
            <w:r w:rsidRPr="00BF3BA9">
              <w:rPr>
                <w:rFonts w:cs="Arial"/>
                <w:szCs w:val="20"/>
                <w:lang w:val="de-AT"/>
              </w:rPr>
              <w:t>30</w:t>
            </w:r>
          </w:p>
        </w:tc>
      </w:tr>
      <w:tr w:rsidR="007C5E33" w:rsidRPr="00BF3BA9" w14:paraId="7B4FAEDD" w14:textId="77777777" w:rsidTr="009D5EF3">
        <w:trPr>
          <w:trHeight w:val="454"/>
        </w:trPr>
        <w:tc>
          <w:tcPr>
            <w:tcW w:w="4351" w:type="dxa"/>
            <w:vAlign w:val="center"/>
          </w:tcPr>
          <w:p w14:paraId="00B93403" w14:textId="77777777" w:rsidR="007C5E33" w:rsidRPr="00BF3BA9" w:rsidRDefault="001F123B" w:rsidP="009D5EF3">
            <w:pPr>
              <w:rPr>
                <w:rFonts w:cs="Arial"/>
                <w:szCs w:val="20"/>
                <w:lang w:val="de-AT"/>
              </w:rPr>
            </w:pPr>
            <w:r w:rsidRPr="00BF3BA9">
              <w:rPr>
                <w:rFonts w:cs="Arial"/>
                <w:szCs w:val="20"/>
                <w:lang w:val="de-AT"/>
              </w:rPr>
              <w:t>Straßen</w:t>
            </w:r>
          </w:p>
        </w:tc>
        <w:tc>
          <w:tcPr>
            <w:tcW w:w="4351" w:type="dxa"/>
            <w:vAlign w:val="center"/>
          </w:tcPr>
          <w:p w14:paraId="5C0D0A44" w14:textId="77777777" w:rsidR="007C5E33" w:rsidRPr="00BF3BA9" w:rsidRDefault="007C5E33" w:rsidP="007C5E33">
            <w:pPr>
              <w:jc w:val="center"/>
              <w:rPr>
                <w:rFonts w:cs="Arial"/>
                <w:szCs w:val="20"/>
                <w:lang w:val="de-AT"/>
              </w:rPr>
            </w:pPr>
            <w:r w:rsidRPr="00BF3BA9">
              <w:rPr>
                <w:rFonts w:cs="Arial"/>
                <w:szCs w:val="20"/>
                <w:lang w:val="de-AT"/>
              </w:rPr>
              <w:t>30</w:t>
            </w:r>
          </w:p>
        </w:tc>
      </w:tr>
      <w:tr w:rsidR="007C5E33" w:rsidRPr="00BF3BA9" w14:paraId="0671F19E" w14:textId="77777777" w:rsidTr="009D5EF3">
        <w:trPr>
          <w:trHeight w:val="454"/>
        </w:trPr>
        <w:tc>
          <w:tcPr>
            <w:tcW w:w="4351" w:type="dxa"/>
            <w:vAlign w:val="center"/>
          </w:tcPr>
          <w:p w14:paraId="3AF449A0" w14:textId="77777777" w:rsidR="007C5E33" w:rsidRPr="00BF3BA9" w:rsidRDefault="001F123B" w:rsidP="009D5EF3">
            <w:pPr>
              <w:rPr>
                <w:rFonts w:cs="Arial"/>
                <w:szCs w:val="20"/>
                <w:lang w:val="de-AT"/>
              </w:rPr>
            </w:pPr>
            <w:r w:rsidRPr="00BF3BA9">
              <w:rPr>
                <w:rFonts w:cs="Arial"/>
                <w:szCs w:val="20"/>
                <w:lang w:val="de-AT"/>
              </w:rPr>
              <w:t>Abfallentsorgung</w:t>
            </w:r>
          </w:p>
        </w:tc>
        <w:tc>
          <w:tcPr>
            <w:tcW w:w="4351" w:type="dxa"/>
            <w:vAlign w:val="center"/>
          </w:tcPr>
          <w:p w14:paraId="48B943FC" w14:textId="77777777" w:rsidR="007C5E33" w:rsidRPr="00BF3BA9" w:rsidRDefault="007C5E33" w:rsidP="009D5EF3">
            <w:pPr>
              <w:jc w:val="center"/>
              <w:rPr>
                <w:rFonts w:cs="Arial"/>
                <w:szCs w:val="20"/>
                <w:lang w:val="de-AT"/>
              </w:rPr>
            </w:pPr>
            <w:r w:rsidRPr="00BF3BA9">
              <w:rPr>
                <w:rFonts w:cs="Arial"/>
                <w:szCs w:val="20"/>
                <w:lang w:val="de-AT"/>
              </w:rPr>
              <w:t>30</w:t>
            </w:r>
          </w:p>
        </w:tc>
      </w:tr>
      <w:tr w:rsidR="007C5E33" w:rsidRPr="00BF3BA9" w14:paraId="14E5C209" w14:textId="77777777" w:rsidTr="009D5EF3">
        <w:trPr>
          <w:trHeight w:val="454"/>
        </w:trPr>
        <w:tc>
          <w:tcPr>
            <w:tcW w:w="4351" w:type="dxa"/>
            <w:vAlign w:val="center"/>
          </w:tcPr>
          <w:p w14:paraId="5C4EF06C" w14:textId="77777777" w:rsidR="007C5E33" w:rsidRPr="00BF3BA9" w:rsidRDefault="001F123B" w:rsidP="009D5EF3">
            <w:pPr>
              <w:rPr>
                <w:rFonts w:cs="Arial"/>
                <w:szCs w:val="20"/>
                <w:lang w:val="de-AT"/>
              </w:rPr>
            </w:pPr>
            <w:r w:rsidRPr="00BF3BA9">
              <w:rPr>
                <w:rFonts w:cs="Arial"/>
                <w:szCs w:val="20"/>
                <w:lang w:val="de-AT"/>
              </w:rPr>
              <w:t>Häfen und Flughäfen</w:t>
            </w:r>
          </w:p>
        </w:tc>
        <w:tc>
          <w:tcPr>
            <w:tcW w:w="4351" w:type="dxa"/>
            <w:vAlign w:val="center"/>
          </w:tcPr>
          <w:p w14:paraId="5B6A37A6" w14:textId="77777777" w:rsidR="007C5E33" w:rsidRPr="00BF3BA9" w:rsidRDefault="007C5E33" w:rsidP="009D5EF3">
            <w:pPr>
              <w:jc w:val="center"/>
              <w:rPr>
                <w:rFonts w:cs="Arial"/>
                <w:szCs w:val="20"/>
                <w:lang w:val="de-AT"/>
              </w:rPr>
            </w:pPr>
            <w:r w:rsidRPr="00BF3BA9">
              <w:rPr>
                <w:rFonts w:cs="Arial"/>
                <w:szCs w:val="20"/>
                <w:lang w:val="de-AT"/>
              </w:rPr>
              <w:t>25</w:t>
            </w:r>
          </w:p>
        </w:tc>
      </w:tr>
      <w:tr w:rsidR="007C5E33" w:rsidRPr="00BF3BA9" w14:paraId="74F39032" w14:textId="77777777" w:rsidTr="009D5EF3">
        <w:trPr>
          <w:trHeight w:val="454"/>
        </w:trPr>
        <w:tc>
          <w:tcPr>
            <w:tcW w:w="4351" w:type="dxa"/>
            <w:vAlign w:val="center"/>
          </w:tcPr>
          <w:p w14:paraId="4D5187DE" w14:textId="77777777" w:rsidR="007C5E33" w:rsidRPr="00BF3BA9" w:rsidRDefault="001F123B" w:rsidP="009D5EF3">
            <w:pPr>
              <w:rPr>
                <w:rFonts w:cs="Arial"/>
                <w:szCs w:val="20"/>
                <w:lang w:val="de-AT"/>
              </w:rPr>
            </w:pPr>
            <w:r w:rsidRPr="00BF3BA9">
              <w:rPr>
                <w:rFonts w:cs="Arial"/>
                <w:szCs w:val="20"/>
                <w:lang w:val="de-AT"/>
              </w:rPr>
              <w:t>Städtischer Nahverkehr</w:t>
            </w:r>
          </w:p>
        </w:tc>
        <w:tc>
          <w:tcPr>
            <w:tcW w:w="4351" w:type="dxa"/>
            <w:vAlign w:val="center"/>
          </w:tcPr>
          <w:p w14:paraId="4BD63D1E" w14:textId="77777777" w:rsidR="007C5E33" w:rsidRPr="00BF3BA9" w:rsidRDefault="007C5E33" w:rsidP="009D5EF3">
            <w:pPr>
              <w:jc w:val="center"/>
              <w:rPr>
                <w:rFonts w:cs="Arial"/>
                <w:szCs w:val="20"/>
                <w:lang w:val="de-AT"/>
              </w:rPr>
            </w:pPr>
            <w:r w:rsidRPr="00BF3BA9">
              <w:rPr>
                <w:rFonts w:cs="Arial"/>
                <w:szCs w:val="20"/>
                <w:lang w:val="de-AT"/>
              </w:rPr>
              <w:t>30</w:t>
            </w:r>
          </w:p>
        </w:tc>
      </w:tr>
      <w:tr w:rsidR="007C5E33" w:rsidRPr="00BF3BA9" w14:paraId="239CC34C" w14:textId="77777777" w:rsidTr="009D5EF3">
        <w:trPr>
          <w:trHeight w:val="454"/>
        </w:trPr>
        <w:tc>
          <w:tcPr>
            <w:tcW w:w="4351" w:type="dxa"/>
            <w:vAlign w:val="center"/>
          </w:tcPr>
          <w:p w14:paraId="3EEFC85F" w14:textId="77777777" w:rsidR="007C5E33" w:rsidRPr="00BF3BA9" w:rsidRDefault="001F123B" w:rsidP="009D5EF3">
            <w:pPr>
              <w:rPr>
                <w:rFonts w:cs="Arial"/>
                <w:szCs w:val="20"/>
                <w:lang w:val="de-AT"/>
              </w:rPr>
            </w:pPr>
            <w:r w:rsidRPr="00BF3BA9">
              <w:rPr>
                <w:rFonts w:cs="Arial"/>
                <w:szCs w:val="20"/>
                <w:lang w:val="de-AT"/>
              </w:rPr>
              <w:t>Energie</w:t>
            </w:r>
          </w:p>
        </w:tc>
        <w:tc>
          <w:tcPr>
            <w:tcW w:w="4351" w:type="dxa"/>
            <w:vAlign w:val="center"/>
          </w:tcPr>
          <w:p w14:paraId="0FE6C83F" w14:textId="77777777" w:rsidR="007C5E33" w:rsidRPr="00BF3BA9" w:rsidRDefault="007C5E33" w:rsidP="009D5EF3">
            <w:pPr>
              <w:jc w:val="center"/>
              <w:rPr>
                <w:rFonts w:cs="Arial"/>
                <w:szCs w:val="20"/>
                <w:lang w:val="de-AT"/>
              </w:rPr>
            </w:pPr>
            <w:r w:rsidRPr="00BF3BA9">
              <w:rPr>
                <w:rFonts w:cs="Arial"/>
                <w:szCs w:val="20"/>
                <w:lang w:val="de-AT"/>
              </w:rPr>
              <w:t>25</w:t>
            </w:r>
          </w:p>
        </w:tc>
      </w:tr>
      <w:tr w:rsidR="007C5E33" w:rsidRPr="00BF3BA9" w14:paraId="457AF8E2" w14:textId="77777777" w:rsidTr="009D5EF3">
        <w:trPr>
          <w:trHeight w:val="454"/>
        </w:trPr>
        <w:tc>
          <w:tcPr>
            <w:tcW w:w="4351" w:type="dxa"/>
            <w:vAlign w:val="center"/>
          </w:tcPr>
          <w:p w14:paraId="4FFD0D1B" w14:textId="77777777" w:rsidR="007C5E33" w:rsidRPr="00BF3BA9" w:rsidRDefault="001F123B" w:rsidP="001F123B">
            <w:pPr>
              <w:rPr>
                <w:rFonts w:cs="Arial"/>
                <w:szCs w:val="20"/>
                <w:lang w:val="de-AT"/>
              </w:rPr>
            </w:pPr>
            <w:r w:rsidRPr="00BF3BA9">
              <w:rPr>
                <w:rFonts w:cs="Arial"/>
                <w:szCs w:val="20"/>
                <w:lang w:val="de-AT"/>
              </w:rPr>
              <w:t>Forschung und Innovation</w:t>
            </w:r>
          </w:p>
        </w:tc>
        <w:tc>
          <w:tcPr>
            <w:tcW w:w="4351" w:type="dxa"/>
            <w:vAlign w:val="center"/>
          </w:tcPr>
          <w:p w14:paraId="39EC9E20" w14:textId="77777777" w:rsidR="007C5E33" w:rsidRPr="00BF3BA9" w:rsidRDefault="007C5E33" w:rsidP="009D5EF3">
            <w:pPr>
              <w:jc w:val="center"/>
              <w:rPr>
                <w:rFonts w:cs="Arial"/>
                <w:szCs w:val="20"/>
                <w:lang w:val="de-AT"/>
              </w:rPr>
            </w:pPr>
            <w:r w:rsidRPr="00BF3BA9">
              <w:rPr>
                <w:rFonts w:cs="Arial"/>
                <w:szCs w:val="20"/>
                <w:lang w:val="de-AT"/>
              </w:rPr>
              <w:t>25</w:t>
            </w:r>
          </w:p>
        </w:tc>
      </w:tr>
      <w:tr w:rsidR="007C5E33" w:rsidRPr="00BF3BA9" w14:paraId="27B0BAA4" w14:textId="77777777" w:rsidTr="009D5EF3">
        <w:trPr>
          <w:trHeight w:val="454"/>
        </w:trPr>
        <w:tc>
          <w:tcPr>
            <w:tcW w:w="4351" w:type="dxa"/>
            <w:vAlign w:val="center"/>
          </w:tcPr>
          <w:p w14:paraId="19AAC5FA" w14:textId="77777777" w:rsidR="007C5E33" w:rsidRPr="00BF3BA9" w:rsidRDefault="001F123B" w:rsidP="009D5EF3">
            <w:pPr>
              <w:rPr>
                <w:rFonts w:cs="Arial"/>
                <w:szCs w:val="20"/>
                <w:lang w:val="de-AT"/>
              </w:rPr>
            </w:pPr>
            <w:r w:rsidRPr="00BF3BA9">
              <w:rPr>
                <w:rFonts w:cs="Arial"/>
                <w:szCs w:val="20"/>
                <w:lang w:val="de-AT"/>
              </w:rPr>
              <w:t>Breitband</w:t>
            </w:r>
          </w:p>
        </w:tc>
        <w:tc>
          <w:tcPr>
            <w:tcW w:w="4351" w:type="dxa"/>
            <w:vAlign w:val="center"/>
          </w:tcPr>
          <w:p w14:paraId="4779D36C" w14:textId="77777777" w:rsidR="007C5E33" w:rsidRPr="00BF3BA9" w:rsidRDefault="007C5E33" w:rsidP="009D5EF3">
            <w:pPr>
              <w:jc w:val="center"/>
              <w:rPr>
                <w:rFonts w:cs="Arial"/>
                <w:szCs w:val="20"/>
                <w:lang w:val="de-AT"/>
              </w:rPr>
            </w:pPr>
            <w:r w:rsidRPr="00BF3BA9">
              <w:rPr>
                <w:rFonts w:cs="Arial"/>
                <w:szCs w:val="20"/>
                <w:lang w:val="de-AT"/>
              </w:rPr>
              <w:t>20</w:t>
            </w:r>
          </w:p>
        </w:tc>
      </w:tr>
      <w:tr w:rsidR="007C5E33" w:rsidRPr="00BF3BA9" w14:paraId="7AE0B08F" w14:textId="77777777" w:rsidTr="009D5EF3">
        <w:trPr>
          <w:trHeight w:val="454"/>
        </w:trPr>
        <w:tc>
          <w:tcPr>
            <w:tcW w:w="4351" w:type="dxa"/>
            <w:vAlign w:val="center"/>
          </w:tcPr>
          <w:p w14:paraId="41F4E857" w14:textId="77777777" w:rsidR="007C5E33" w:rsidRPr="00BF3BA9" w:rsidRDefault="001F123B" w:rsidP="009D5EF3">
            <w:pPr>
              <w:rPr>
                <w:rFonts w:cs="Arial"/>
                <w:szCs w:val="20"/>
                <w:lang w:val="de-AT"/>
              </w:rPr>
            </w:pPr>
            <w:r w:rsidRPr="00BF3BA9">
              <w:rPr>
                <w:rFonts w:cs="Arial"/>
                <w:szCs w:val="20"/>
                <w:lang w:val="de-AT"/>
              </w:rPr>
              <w:t>Unternehmensinfrastruktur</w:t>
            </w:r>
          </w:p>
        </w:tc>
        <w:tc>
          <w:tcPr>
            <w:tcW w:w="4351" w:type="dxa"/>
            <w:vAlign w:val="center"/>
          </w:tcPr>
          <w:p w14:paraId="6B82255F" w14:textId="77777777" w:rsidR="007C5E33" w:rsidRPr="00BF3BA9" w:rsidRDefault="007C5E33" w:rsidP="009D5EF3">
            <w:pPr>
              <w:jc w:val="center"/>
              <w:rPr>
                <w:rFonts w:cs="Arial"/>
                <w:szCs w:val="20"/>
                <w:lang w:val="de-AT"/>
              </w:rPr>
            </w:pPr>
            <w:r w:rsidRPr="00BF3BA9">
              <w:rPr>
                <w:rFonts w:cs="Arial"/>
                <w:szCs w:val="20"/>
                <w:lang w:val="de-AT"/>
              </w:rPr>
              <w:t>15</w:t>
            </w:r>
          </w:p>
        </w:tc>
      </w:tr>
      <w:tr w:rsidR="007C5E33" w:rsidRPr="00BF3BA9" w14:paraId="71B9C9A3" w14:textId="77777777" w:rsidTr="009D5EF3">
        <w:trPr>
          <w:trHeight w:val="454"/>
        </w:trPr>
        <w:tc>
          <w:tcPr>
            <w:tcW w:w="4351" w:type="dxa"/>
            <w:vAlign w:val="center"/>
          </w:tcPr>
          <w:p w14:paraId="18E25251" w14:textId="77777777" w:rsidR="007C5E33" w:rsidRPr="00BF3BA9" w:rsidRDefault="007C5E33" w:rsidP="009D5EF3">
            <w:pPr>
              <w:rPr>
                <w:rFonts w:cs="Arial"/>
                <w:szCs w:val="20"/>
                <w:lang w:val="de-AT"/>
              </w:rPr>
            </w:pPr>
            <w:r w:rsidRPr="00BF3BA9">
              <w:rPr>
                <w:rFonts w:cs="Arial"/>
                <w:szCs w:val="20"/>
                <w:lang w:val="de-AT"/>
              </w:rPr>
              <w:t>Andere Sektoren</w:t>
            </w:r>
          </w:p>
        </w:tc>
        <w:tc>
          <w:tcPr>
            <w:tcW w:w="4351" w:type="dxa"/>
            <w:vAlign w:val="center"/>
          </w:tcPr>
          <w:p w14:paraId="3D7CA459" w14:textId="77777777" w:rsidR="007C5E33" w:rsidRPr="00BF3BA9" w:rsidRDefault="007C5E33" w:rsidP="009D5EF3">
            <w:pPr>
              <w:jc w:val="center"/>
              <w:rPr>
                <w:rFonts w:cs="Arial"/>
                <w:szCs w:val="20"/>
                <w:lang w:val="de-AT"/>
              </w:rPr>
            </w:pPr>
            <w:r w:rsidRPr="00BF3BA9">
              <w:rPr>
                <w:rFonts w:cs="Arial"/>
                <w:szCs w:val="20"/>
                <w:lang w:val="de-AT"/>
              </w:rPr>
              <w:t>15</w:t>
            </w:r>
          </w:p>
        </w:tc>
      </w:tr>
    </w:tbl>
    <w:p w14:paraId="7F797436" w14:textId="77777777" w:rsidR="00A23802" w:rsidRDefault="00A23802" w:rsidP="000D2900">
      <w:pPr>
        <w:rPr>
          <w:rFonts w:cs="Arial"/>
          <w:szCs w:val="20"/>
        </w:rPr>
      </w:pPr>
    </w:p>
    <w:p w14:paraId="716C4183" w14:textId="77777777" w:rsidR="00A23802" w:rsidRDefault="00A23802" w:rsidP="00A23802">
      <w:pPr>
        <w:ind w:left="360"/>
        <w:rPr>
          <w:rFonts w:cs="Arial"/>
          <w:szCs w:val="20"/>
        </w:rPr>
      </w:pPr>
    </w:p>
    <w:p w14:paraId="611A2F35" w14:textId="77777777" w:rsidR="00CF40F8" w:rsidRDefault="002B286D" w:rsidP="002B286D">
      <w:pPr>
        <w:ind w:left="360"/>
        <w:rPr>
          <w:rFonts w:cs="Arial"/>
          <w:szCs w:val="20"/>
        </w:rPr>
      </w:pPr>
      <w:r w:rsidRPr="001E6599">
        <w:rPr>
          <w:rFonts w:cs="Arial"/>
          <w:szCs w:val="20"/>
        </w:rPr>
        <w:t xml:space="preserve">Gemäß Art. 61 Abs. 3 letzter Unterabsatz VO (EU) Nr. 1303/2013 muss bei der Endauszahlung kontrolliert werden, ob während der Durchführung des Vorhabens Nettoeinnahmen aus </w:t>
      </w:r>
      <w:r w:rsidRPr="001E6599">
        <w:rPr>
          <w:rFonts w:cs="Arial"/>
          <w:szCs w:val="20"/>
        </w:rPr>
        <w:lastRenderedPageBreak/>
        <w:t xml:space="preserve">Einnahmequellen erwirtschaftet wurden, die bei der Festlegung der potentiellen Nettoeinnahmen zum Zeitpunkt der </w:t>
      </w:r>
      <w:r>
        <w:rPr>
          <w:rFonts w:cs="Arial"/>
          <w:szCs w:val="20"/>
        </w:rPr>
        <w:t>Genehmigung</w:t>
      </w:r>
      <w:r w:rsidRPr="001E6599">
        <w:rPr>
          <w:rFonts w:cs="Arial"/>
          <w:szCs w:val="20"/>
        </w:rPr>
        <w:t xml:space="preserve"> nicht berücksichtigt wurden. Dies trifft nur zu, wenn die erwarteten Nettoeinnahmen nicht auf Basis des Pauschalsatzes gemäß Anhang V der VO (EU)</w:t>
      </w:r>
      <w:r>
        <w:rPr>
          <w:rFonts w:cs="Arial"/>
          <w:szCs w:val="20"/>
        </w:rPr>
        <w:t xml:space="preserve"> Nr. 1303/2013 ermittelt werden.</w:t>
      </w:r>
      <w:r w:rsidRPr="001E6599">
        <w:rPr>
          <w:rFonts w:cs="Arial"/>
          <w:szCs w:val="20"/>
        </w:rPr>
        <w:t xml:space="preserve"> </w:t>
      </w:r>
      <w:r>
        <w:rPr>
          <w:rFonts w:cs="Arial"/>
          <w:szCs w:val="20"/>
        </w:rPr>
        <w:t>Diese Nettoeinnahmen sind ebenfalls spätestens beim letzten Zahlungsantrag (Endabrechnung) von den anrechenbaren Kosten abzuziehen.</w:t>
      </w:r>
    </w:p>
    <w:p w14:paraId="4491DE65" w14:textId="77777777" w:rsidR="00522AB5" w:rsidRDefault="00522AB5" w:rsidP="002B286D">
      <w:pPr>
        <w:ind w:left="360"/>
        <w:rPr>
          <w:rFonts w:cs="Arial"/>
          <w:szCs w:val="20"/>
        </w:rPr>
      </w:pPr>
    </w:p>
    <w:p w14:paraId="2B0D8FE0" w14:textId="77777777" w:rsidR="00522AB5" w:rsidRPr="00CC6DFB" w:rsidRDefault="00522AB5" w:rsidP="002B286D">
      <w:pPr>
        <w:ind w:left="360"/>
        <w:rPr>
          <w:rFonts w:cs="Arial"/>
          <w:b/>
          <w:szCs w:val="20"/>
        </w:rPr>
      </w:pPr>
      <w:r w:rsidRPr="00CC6DFB">
        <w:rPr>
          <w:rFonts w:cs="Arial"/>
          <w:b/>
          <w:szCs w:val="20"/>
        </w:rPr>
        <w:t>Erfassung der Einnahmen in der LEW-Datenbank:</w:t>
      </w:r>
    </w:p>
    <w:p w14:paraId="42554D48" w14:textId="77777777" w:rsidR="00C63A5E" w:rsidRPr="00CC6DFB" w:rsidRDefault="00CC6DFB" w:rsidP="00522AB5">
      <w:pPr>
        <w:ind w:left="360"/>
        <w:rPr>
          <w:rFonts w:cs="Arial"/>
          <w:b/>
          <w:szCs w:val="20"/>
        </w:rPr>
      </w:pPr>
      <w:r w:rsidRPr="00CC6DFB">
        <w:rPr>
          <w:rFonts w:cs="Arial"/>
          <w:b/>
          <w:szCs w:val="20"/>
        </w:rPr>
        <w:t>Zum Zeitpunkt der Genehmigung:</w:t>
      </w:r>
    </w:p>
    <w:p w14:paraId="5D8292E1" w14:textId="77777777" w:rsidR="00C63A5E" w:rsidRDefault="00C63A5E" w:rsidP="00522AB5">
      <w:pPr>
        <w:ind w:left="360"/>
        <w:rPr>
          <w:rFonts w:cs="Arial"/>
          <w:szCs w:val="20"/>
        </w:rPr>
      </w:pPr>
      <w:r>
        <w:rPr>
          <w:rFonts w:cs="Arial"/>
          <w:szCs w:val="20"/>
        </w:rPr>
        <w:t>Die Berücksichtigung der Einnahmen erfolgt in der Maske „Verwalten Antragspositionen“ (siehe auch Benutzerhandbuch Punkt 4.5).</w:t>
      </w:r>
    </w:p>
    <w:p w14:paraId="7549A5C4" w14:textId="77777777" w:rsidR="009C104D" w:rsidRDefault="004042C0" w:rsidP="00522AB5">
      <w:pPr>
        <w:ind w:left="360"/>
        <w:rPr>
          <w:rFonts w:cs="Arial"/>
          <w:szCs w:val="20"/>
        </w:rPr>
      </w:pPr>
      <w:r>
        <w:rPr>
          <w:rFonts w:cs="Arial"/>
          <w:szCs w:val="20"/>
        </w:rPr>
        <w:t xml:space="preserve">Sofern der Förderungswerber im Rahmen der Antragsstellung bekannt gegeben hat, dass er Einnahmen nach Abschluss des Vorhabens hat, </w:t>
      </w:r>
      <w:r w:rsidR="00C63A5E">
        <w:rPr>
          <w:rFonts w:cs="Arial"/>
          <w:szCs w:val="20"/>
        </w:rPr>
        <w:t xml:space="preserve">ist </w:t>
      </w:r>
      <w:r>
        <w:rPr>
          <w:rFonts w:cs="Arial"/>
          <w:szCs w:val="20"/>
        </w:rPr>
        <w:t xml:space="preserve">im Feld Kürzungsart </w:t>
      </w:r>
      <w:r w:rsidRPr="00AE75EF">
        <w:rPr>
          <w:lang w:eastAsia="de-DE"/>
        </w:rPr>
        <w:t>"Einnahmen (Art.61)"</w:t>
      </w:r>
      <w:r w:rsidR="00C63A5E">
        <w:rPr>
          <w:rFonts w:cs="Arial"/>
          <w:szCs w:val="20"/>
        </w:rPr>
        <w:t xml:space="preserve">auszuwählen. Im Feld Einnahmen ist dann das Ergebnis der ermittelten Nettoeinnahmen zu erfassen. Sofern </w:t>
      </w:r>
      <w:r w:rsidR="00C67457">
        <w:rPr>
          <w:rFonts w:cs="Arial"/>
          <w:szCs w:val="20"/>
        </w:rPr>
        <w:t>die Betriebskosten die Bruttoeinnahmen übersteigen und die Nettoeinnahmen Null ergeben, ist Null zu erfassen. Ebenso</w:t>
      </w:r>
      <w:r w:rsidR="00CC6DFB">
        <w:rPr>
          <w:rFonts w:cs="Arial"/>
          <w:szCs w:val="20"/>
        </w:rPr>
        <w:t xml:space="preserve"> ist Null zu erfassen, wenn der Förderungswerber plausibel begründet hat, dass er die Einnahmen nicht vorab schätzen kann.</w:t>
      </w:r>
    </w:p>
    <w:p w14:paraId="25693CDA" w14:textId="77777777" w:rsidR="00CC6DFB" w:rsidRDefault="00CC6DFB" w:rsidP="00CC6DFB">
      <w:pPr>
        <w:ind w:left="360"/>
        <w:rPr>
          <w:rFonts w:cs="Arial"/>
          <w:szCs w:val="20"/>
        </w:rPr>
      </w:pPr>
      <w:r>
        <w:rPr>
          <w:rFonts w:cs="Arial"/>
          <w:szCs w:val="20"/>
        </w:rPr>
        <w:t>Die Kürzung der anrechenbaren Kosten erfolgt automatisch durch die LEW-DB. Sofern die Gesamtkosten höher sind als die anrechenbaren Kosten werden die anrechenbaren Kosten aliquot durch die LEW-DB gekürzt</w:t>
      </w:r>
    </w:p>
    <w:p w14:paraId="5150395B" w14:textId="77777777" w:rsidR="00CC6DFB" w:rsidRDefault="00CC6DFB" w:rsidP="00522AB5">
      <w:pPr>
        <w:ind w:left="360"/>
        <w:rPr>
          <w:rFonts w:cs="Arial"/>
          <w:szCs w:val="20"/>
        </w:rPr>
      </w:pPr>
    </w:p>
    <w:p w14:paraId="0DB540D0" w14:textId="77777777" w:rsidR="00CC6DFB" w:rsidRPr="00CC6DFB" w:rsidRDefault="00CC6DFB" w:rsidP="00522AB5">
      <w:pPr>
        <w:ind w:left="360"/>
        <w:rPr>
          <w:rFonts w:cs="Arial"/>
          <w:b/>
          <w:szCs w:val="20"/>
        </w:rPr>
      </w:pPr>
      <w:r w:rsidRPr="00CC6DFB">
        <w:rPr>
          <w:rFonts w:cs="Arial"/>
          <w:b/>
          <w:szCs w:val="20"/>
        </w:rPr>
        <w:t>Zum Zeitpunkt der Abrechnung:</w:t>
      </w:r>
    </w:p>
    <w:p w14:paraId="7D841C7D" w14:textId="77777777" w:rsidR="00C710A3" w:rsidRDefault="0030176E" w:rsidP="00522AB5">
      <w:pPr>
        <w:ind w:left="360"/>
        <w:rPr>
          <w:rFonts w:cs="Arial"/>
          <w:szCs w:val="20"/>
        </w:rPr>
      </w:pPr>
      <w:r>
        <w:rPr>
          <w:rFonts w:cs="Arial"/>
          <w:szCs w:val="20"/>
        </w:rPr>
        <w:t>Bei Vorhaben der Gruppe 1 sind bei der Abrechnung grundsätzlich keine Einnahmen mehr zu berücksichtigen</w:t>
      </w:r>
      <w:r w:rsidR="00C710A3">
        <w:rPr>
          <w:rFonts w:cs="Arial"/>
          <w:szCs w:val="20"/>
        </w:rPr>
        <w:t>.</w:t>
      </w:r>
    </w:p>
    <w:p w14:paraId="5045D8B3" w14:textId="77777777" w:rsidR="00522AB5" w:rsidRDefault="00C710A3" w:rsidP="00522AB5">
      <w:pPr>
        <w:ind w:left="360"/>
        <w:rPr>
          <w:rFonts w:cs="Arial"/>
          <w:szCs w:val="20"/>
        </w:rPr>
      </w:pPr>
      <w:r>
        <w:rPr>
          <w:rFonts w:cs="Arial"/>
          <w:szCs w:val="20"/>
        </w:rPr>
        <w:t>Ausnahme: B</w:t>
      </w:r>
      <w:r w:rsidR="0030176E">
        <w:rPr>
          <w:rFonts w:cs="Arial"/>
          <w:szCs w:val="20"/>
        </w:rPr>
        <w:t>ei der Endabrechnung wird festgestellt, dass es während der Durchführung des Vorhabens Einnahmen gab, die nicht in der Schätzung berücksichtigt wurden.</w:t>
      </w:r>
    </w:p>
    <w:p w14:paraId="22973D72" w14:textId="77777777" w:rsidR="00CF40F8" w:rsidRDefault="00CF40F8" w:rsidP="002B286D">
      <w:pPr>
        <w:ind w:left="360"/>
        <w:rPr>
          <w:rFonts w:cs="Arial"/>
          <w:szCs w:val="20"/>
        </w:rPr>
      </w:pPr>
    </w:p>
    <w:p w14:paraId="1F1CFFE7" w14:textId="77777777" w:rsidR="004551B4" w:rsidRPr="00F176BC" w:rsidRDefault="004551B4" w:rsidP="00F176BC">
      <w:pPr>
        <w:ind w:firstLine="360"/>
        <w:rPr>
          <w:rFonts w:cs="Arial"/>
          <w:b/>
          <w:szCs w:val="20"/>
        </w:rPr>
      </w:pPr>
      <w:r w:rsidRPr="004551B4">
        <w:rPr>
          <w:rFonts w:cs="Arial"/>
          <w:b/>
          <w:szCs w:val="20"/>
        </w:rPr>
        <w:t xml:space="preserve">Vorgangsweise wenn die Einnahmen nicht vorab abschätzbar sind: </w:t>
      </w:r>
    </w:p>
    <w:p w14:paraId="36921151" w14:textId="77777777" w:rsidR="00FC725B" w:rsidRPr="001E6599" w:rsidRDefault="00FC725B" w:rsidP="002C2546">
      <w:pPr>
        <w:ind w:left="360"/>
        <w:rPr>
          <w:rFonts w:cs="Arial"/>
          <w:szCs w:val="20"/>
        </w:rPr>
      </w:pPr>
      <w:r w:rsidRPr="001E6599">
        <w:rPr>
          <w:rFonts w:cs="Arial"/>
          <w:szCs w:val="20"/>
        </w:rPr>
        <w:t xml:space="preserve">Ist es in Ausnahmefällen nicht möglich, die erwarteten Nettoeinnahmen vorab festzulegen, können gemäß Art. 61 Abs. 6 VO (EU) Nr. 1303/2013 diese Nettoeinnahmen, die bis zum Ablauf des dritten Jahres nach Ende des Durchführungszeitraumes </w:t>
      </w:r>
      <w:r w:rsidR="002C2546">
        <w:rPr>
          <w:rFonts w:cs="Arial"/>
          <w:szCs w:val="20"/>
        </w:rPr>
        <w:t>(</w:t>
      </w:r>
      <w:r w:rsidR="00CE0951">
        <w:rPr>
          <w:rFonts w:cs="Arial"/>
          <w:szCs w:val="20"/>
        </w:rPr>
        <w:t>ab</w:t>
      </w:r>
      <w:r w:rsidR="002C2546">
        <w:rPr>
          <w:rFonts w:cs="Arial"/>
          <w:szCs w:val="20"/>
        </w:rPr>
        <w:t xml:space="preserve"> der Letztzahlung) </w:t>
      </w:r>
      <w:r w:rsidRPr="001E6599">
        <w:rPr>
          <w:rFonts w:cs="Arial"/>
          <w:szCs w:val="20"/>
        </w:rPr>
        <w:t>erzielt werden</w:t>
      </w:r>
      <w:r w:rsidR="00841E89">
        <w:rPr>
          <w:rFonts w:cs="Arial"/>
          <w:szCs w:val="20"/>
        </w:rPr>
        <w:t>,</w:t>
      </w:r>
      <w:r w:rsidRPr="001E6599">
        <w:rPr>
          <w:rFonts w:cs="Arial"/>
          <w:szCs w:val="20"/>
        </w:rPr>
        <w:t xml:space="preserve"> bzw. die bis zum Ende der Frist für die Einreichung von Dokumenten für den Programmabschluss </w:t>
      </w:r>
      <w:r w:rsidR="001020BA">
        <w:rPr>
          <w:rFonts w:cs="Arial"/>
          <w:szCs w:val="20"/>
        </w:rPr>
        <w:t>LE 14-20</w:t>
      </w:r>
      <w:r w:rsidR="00BA6D1F">
        <w:rPr>
          <w:rFonts w:cs="Arial"/>
          <w:szCs w:val="20"/>
        </w:rPr>
        <w:t xml:space="preserve"> </w:t>
      </w:r>
      <w:r w:rsidRPr="001E6599">
        <w:rPr>
          <w:rFonts w:cs="Arial"/>
          <w:szCs w:val="20"/>
        </w:rPr>
        <w:t>erzielt werden</w:t>
      </w:r>
      <w:r w:rsidR="00841E89">
        <w:rPr>
          <w:rFonts w:cs="Arial"/>
          <w:szCs w:val="20"/>
        </w:rPr>
        <w:t>,</w:t>
      </w:r>
      <w:r w:rsidRPr="001E6599">
        <w:rPr>
          <w:rFonts w:cs="Arial"/>
          <w:szCs w:val="20"/>
        </w:rPr>
        <w:t xml:space="preserve"> (je nachdem welcher Zeitpunkt der frühere ist), im Nachhinein abgezogen werden. Dies muss als Auflage in das </w:t>
      </w:r>
      <w:r w:rsidR="005179FE">
        <w:rPr>
          <w:rFonts w:cs="Arial"/>
          <w:szCs w:val="20"/>
        </w:rPr>
        <w:t>Genehmigungsschreiben</w:t>
      </w:r>
      <w:r w:rsidRPr="001E6599">
        <w:rPr>
          <w:rFonts w:cs="Arial"/>
          <w:szCs w:val="20"/>
        </w:rPr>
        <w:t xml:space="preserve">. </w:t>
      </w:r>
    </w:p>
    <w:p w14:paraId="1CAF2672" w14:textId="77777777" w:rsidR="00FC725B" w:rsidRDefault="002C2546" w:rsidP="002C2546">
      <w:pPr>
        <w:ind w:left="360"/>
        <w:rPr>
          <w:rFonts w:cs="Arial"/>
          <w:szCs w:val="20"/>
        </w:rPr>
      </w:pPr>
      <w:r>
        <w:rPr>
          <w:rFonts w:cs="Arial"/>
          <w:szCs w:val="20"/>
        </w:rPr>
        <w:t>Die Auflage wird nach Ablauf der Frist überprüft. Sofern Nettoeinnahmen vorliegen, erfolgt eine entsprechende Rückforderung.</w:t>
      </w:r>
    </w:p>
    <w:p w14:paraId="0662AAF9" w14:textId="77777777" w:rsidR="00C710A3" w:rsidRPr="005221B3" w:rsidRDefault="00C710A3" w:rsidP="00FC725B">
      <w:pPr>
        <w:pStyle w:val="Listenabsatz"/>
        <w:rPr>
          <w:rFonts w:cs="Arial"/>
          <w:szCs w:val="20"/>
        </w:rPr>
      </w:pPr>
    </w:p>
    <w:p w14:paraId="1245D7D8" w14:textId="77777777" w:rsidR="0033444F" w:rsidRDefault="0033444F" w:rsidP="00FC725B">
      <w:pPr>
        <w:rPr>
          <w:rFonts w:cs="Arial"/>
          <w:b/>
          <w:szCs w:val="20"/>
        </w:rPr>
      </w:pPr>
      <w:r>
        <w:rPr>
          <w:rFonts w:cs="Arial"/>
          <w:b/>
          <w:szCs w:val="20"/>
        </w:rPr>
        <w:t>Gruppe 2:</w:t>
      </w:r>
    </w:p>
    <w:p w14:paraId="1C763497" w14:textId="77777777" w:rsidR="00FC725B" w:rsidRPr="00D6411A" w:rsidRDefault="0033444F" w:rsidP="000D2900">
      <w:pPr>
        <w:ind w:firstLine="284"/>
        <w:rPr>
          <w:rFonts w:cs="Arial"/>
          <w:b/>
          <w:szCs w:val="20"/>
        </w:rPr>
      </w:pPr>
      <w:r>
        <w:rPr>
          <w:rFonts w:cs="Arial"/>
          <w:b/>
          <w:szCs w:val="20"/>
        </w:rPr>
        <w:t xml:space="preserve">Ermittlung der Nettoeinnahmen (vgl. </w:t>
      </w:r>
      <w:r w:rsidRPr="00844D27">
        <w:rPr>
          <w:rFonts w:cs="Arial"/>
          <w:b/>
          <w:szCs w:val="20"/>
        </w:rPr>
        <w:t>Art. 65 Abs. 8 VO 1303/2013</w:t>
      </w:r>
      <w:r w:rsidR="007A5DBD">
        <w:rPr>
          <w:rFonts w:cs="Arial"/>
          <w:b/>
          <w:szCs w:val="20"/>
        </w:rPr>
        <w:t>)</w:t>
      </w:r>
    </w:p>
    <w:p w14:paraId="7DCC4464" w14:textId="77777777" w:rsidR="00FC725B" w:rsidRDefault="00FC725B" w:rsidP="000D2900">
      <w:pPr>
        <w:ind w:left="284"/>
        <w:rPr>
          <w:rFonts w:cs="Arial"/>
          <w:szCs w:val="20"/>
        </w:rPr>
      </w:pPr>
      <w:r w:rsidRPr="001E6599">
        <w:rPr>
          <w:rFonts w:cs="Arial"/>
          <w:szCs w:val="20"/>
        </w:rPr>
        <w:t xml:space="preserve">Die Summe der Einnahmen, die während der Durchführung des Vorhabens </w:t>
      </w:r>
      <w:r w:rsidR="000028A1" w:rsidRPr="001E6599">
        <w:rPr>
          <w:rFonts w:cs="Arial"/>
          <w:szCs w:val="20"/>
        </w:rPr>
        <w:t>a</w:t>
      </w:r>
      <w:r w:rsidR="000028A1">
        <w:rPr>
          <w:rFonts w:cs="Arial"/>
          <w:szCs w:val="20"/>
        </w:rPr>
        <w:t>nfällt</w:t>
      </w:r>
      <w:r w:rsidRPr="001E6599">
        <w:rPr>
          <w:rFonts w:cs="Arial"/>
          <w:szCs w:val="20"/>
        </w:rPr>
        <w:t xml:space="preserve">, </w:t>
      </w:r>
      <w:r w:rsidR="000028A1" w:rsidRPr="001E6599">
        <w:rPr>
          <w:rFonts w:cs="Arial"/>
          <w:szCs w:val="20"/>
        </w:rPr>
        <w:t>w</w:t>
      </w:r>
      <w:r w:rsidR="000028A1">
        <w:rPr>
          <w:rFonts w:cs="Arial"/>
          <w:szCs w:val="20"/>
        </w:rPr>
        <w:t>ird</w:t>
      </w:r>
      <w:r w:rsidR="000028A1" w:rsidRPr="001E6599">
        <w:rPr>
          <w:rFonts w:cs="Arial"/>
          <w:szCs w:val="20"/>
        </w:rPr>
        <w:t xml:space="preserve"> </w:t>
      </w:r>
      <w:r w:rsidRPr="001E6599">
        <w:rPr>
          <w:rFonts w:cs="Arial"/>
          <w:szCs w:val="20"/>
        </w:rPr>
        <w:t xml:space="preserve">gegebenenfalls um die im entsprechenden Zeitraum entstandenen </w:t>
      </w:r>
      <w:r w:rsidR="00C061DF" w:rsidRPr="001E6599">
        <w:rPr>
          <w:rFonts w:cs="Arial"/>
          <w:szCs w:val="20"/>
        </w:rPr>
        <w:t>Betriebs</w:t>
      </w:r>
      <w:r w:rsidR="00C061DF">
        <w:rPr>
          <w:rFonts w:cs="Arial"/>
          <w:szCs w:val="20"/>
        </w:rPr>
        <w:t>kosten</w:t>
      </w:r>
      <w:r w:rsidR="00C061DF" w:rsidRPr="001E6599">
        <w:rPr>
          <w:rFonts w:cs="Arial"/>
          <w:szCs w:val="20"/>
        </w:rPr>
        <w:t xml:space="preserve"> </w:t>
      </w:r>
      <w:r w:rsidRPr="001E6599">
        <w:rPr>
          <w:rFonts w:cs="Arial"/>
          <w:szCs w:val="20"/>
        </w:rPr>
        <w:t xml:space="preserve">verringert (siehe </w:t>
      </w:r>
      <w:r w:rsidR="00190946">
        <w:rPr>
          <w:rFonts w:cs="Arial"/>
          <w:szCs w:val="20"/>
        </w:rPr>
        <w:t>auch Definition Nettoeinnahmen</w:t>
      </w:r>
      <w:r w:rsidRPr="001E6599">
        <w:rPr>
          <w:rFonts w:cs="Arial"/>
          <w:szCs w:val="20"/>
        </w:rPr>
        <w:t xml:space="preserve">). </w:t>
      </w:r>
    </w:p>
    <w:p w14:paraId="2068B1BB" w14:textId="77777777" w:rsidR="00FC725B" w:rsidRPr="001E6599" w:rsidRDefault="00FC725B" w:rsidP="00FC725B">
      <w:pPr>
        <w:rPr>
          <w:rFonts w:cs="Arial"/>
          <w:szCs w:val="20"/>
        </w:rPr>
      </w:pPr>
    </w:p>
    <w:p w14:paraId="6B772115" w14:textId="77777777" w:rsidR="002D1C81" w:rsidRPr="00D6411A" w:rsidRDefault="005179FE" w:rsidP="000D2900">
      <w:pPr>
        <w:ind w:firstLine="284"/>
        <w:rPr>
          <w:rFonts w:cs="Arial"/>
          <w:b/>
          <w:szCs w:val="20"/>
        </w:rPr>
      </w:pPr>
      <w:r>
        <w:rPr>
          <w:rFonts w:cs="Arial"/>
          <w:b/>
          <w:szCs w:val="20"/>
        </w:rPr>
        <w:t xml:space="preserve">Zeitpunkt der </w:t>
      </w:r>
      <w:r w:rsidR="002D1C81">
        <w:rPr>
          <w:rFonts w:cs="Arial"/>
          <w:b/>
          <w:szCs w:val="20"/>
        </w:rPr>
        <w:t>Berücksichtigung der ermittelten</w:t>
      </w:r>
      <w:r w:rsidR="002D1C81" w:rsidRPr="00D6411A">
        <w:rPr>
          <w:rFonts w:cs="Arial"/>
          <w:b/>
          <w:szCs w:val="20"/>
        </w:rPr>
        <w:t xml:space="preserve"> Nettoeinnahmen </w:t>
      </w:r>
    </w:p>
    <w:p w14:paraId="543D0DC7" w14:textId="77777777" w:rsidR="00FC725B" w:rsidRDefault="00FC725B" w:rsidP="000D2900">
      <w:pPr>
        <w:ind w:left="284"/>
        <w:rPr>
          <w:rFonts w:cs="Arial"/>
          <w:szCs w:val="20"/>
        </w:rPr>
      </w:pPr>
      <w:r w:rsidRPr="001E6599">
        <w:rPr>
          <w:rFonts w:cs="Arial"/>
          <w:szCs w:val="20"/>
        </w:rPr>
        <w:t xml:space="preserve">Gemäß Art. 65 Abs. 8 VO (EU) Nr. 1303/2013 sind die Nettoeinnahmen zum Zeitpunkt der Genehmigung zu berücksichtigen. Alle Nettoeinnahmen, die zum Zeitpunkt der Genehmigung noch </w:t>
      </w:r>
      <w:r w:rsidRPr="001E6599">
        <w:rPr>
          <w:rFonts w:cs="Arial"/>
          <w:szCs w:val="20"/>
        </w:rPr>
        <w:lastRenderedPageBreak/>
        <w:t xml:space="preserve">nicht berücksichtigt werden </w:t>
      </w:r>
      <w:r w:rsidR="0043185C" w:rsidRPr="001E6599">
        <w:rPr>
          <w:rFonts w:cs="Arial"/>
          <w:szCs w:val="20"/>
        </w:rPr>
        <w:t>k</w:t>
      </w:r>
      <w:r w:rsidR="0043185C">
        <w:rPr>
          <w:rFonts w:cs="Arial"/>
          <w:szCs w:val="20"/>
        </w:rPr>
        <w:t>önnen</w:t>
      </w:r>
      <w:r w:rsidRPr="001E6599">
        <w:rPr>
          <w:rFonts w:cs="Arial"/>
          <w:szCs w:val="20"/>
        </w:rPr>
        <w:t xml:space="preserve">, müssen spätestens bei der Endauszahlung berücksichtigt werden. </w:t>
      </w:r>
    </w:p>
    <w:p w14:paraId="45465B8B" w14:textId="77777777" w:rsidR="0060719C" w:rsidRDefault="0060719C" w:rsidP="00FC725B">
      <w:pPr>
        <w:rPr>
          <w:rFonts w:cs="Arial"/>
          <w:szCs w:val="20"/>
        </w:rPr>
      </w:pPr>
    </w:p>
    <w:p w14:paraId="3732AB94" w14:textId="77777777" w:rsidR="009A4F49" w:rsidRPr="00CC6DFB" w:rsidRDefault="009A4F49" w:rsidP="00D260B3">
      <w:pPr>
        <w:ind w:firstLine="284"/>
        <w:rPr>
          <w:rFonts w:cs="Arial"/>
          <w:b/>
          <w:szCs w:val="20"/>
        </w:rPr>
      </w:pPr>
      <w:r w:rsidRPr="00CC6DFB">
        <w:rPr>
          <w:rFonts w:cs="Arial"/>
          <w:b/>
          <w:szCs w:val="20"/>
        </w:rPr>
        <w:t>Erfassung der Einnahmen in der LEW-Datenbank:</w:t>
      </w:r>
    </w:p>
    <w:p w14:paraId="2DED1C91" w14:textId="77777777" w:rsidR="009A4F49" w:rsidRPr="00CC6DFB" w:rsidRDefault="009A4F49" w:rsidP="00D260B3">
      <w:pPr>
        <w:ind w:firstLine="284"/>
        <w:rPr>
          <w:rFonts w:cs="Arial"/>
          <w:b/>
          <w:szCs w:val="20"/>
        </w:rPr>
      </w:pPr>
      <w:r w:rsidRPr="00CC6DFB">
        <w:rPr>
          <w:rFonts w:cs="Arial"/>
          <w:b/>
          <w:szCs w:val="20"/>
        </w:rPr>
        <w:t>Zum Zeitpunkt der Genehmigung:</w:t>
      </w:r>
    </w:p>
    <w:p w14:paraId="7C6DAB4F" w14:textId="77777777" w:rsidR="009A4F49" w:rsidRDefault="00361ECA" w:rsidP="00D260B3">
      <w:pPr>
        <w:ind w:left="284"/>
        <w:rPr>
          <w:rFonts w:cs="Arial"/>
          <w:szCs w:val="20"/>
        </w:rPr>
      </w:pPr>
      <w:r>
        <w:rPr>
          <w:rFonts w:cs="Arial"/>
          <w:szCs w:val="20"/>
        </w:rPr>
        <w:t>Wenn</w:t>
      </w:r>
      <w:r w:rsidR="009A4F49">
        <w:rPr>
          <w:rFonts w:cs="Arial"/>
          <w:szCs w:val="20"/>
        </w:rPr>
        <w:t xml:space="preserve"> der Förderungswerber im Rahmen der Antragsstellung bekannt gegeben hat, dass er </w:t>
      </w:r>
      <w:r>
        <w:rPr>
          <w:rFonts w:cs="Arial"/>
          <w:szCs w:val="20"/>
        </w:rPr>
        <w:t xml:space="preserve">während der Projektdurchführung </w:t>
      </w:r>
      <w:r w:rsidR="009A4F49">
        <w:rPr>
          <w:rFonts w:cs="Arial"/>
          <w:szCs w:val="20"/>
        </w:rPr>
        <w:t xml:space="preserve">Einnahmen </w:t>
      </w:r>
      <w:r>
        <w:rPr>
          <w:rFonts w:cs="Arial"/>
          <w:szCs w:val="20"/>
        </w:rPr>
        <w:t xml:space="preserve">hat, </w:t>
      </w:r>
      <w:r w:rsidR="009A4F49">
        <w:rPr>
          <w:rFonts w:cs="Arial"/>
          <w:szCs w:val="20"/>
        </w:rPr>
        <w:t xml:space="preserve">ist im Feld Kürzungsart </w:t>
      </w:r>
      <w:r w:rsidRPr="00D260B3">
        <w:rPr>
          <w:rFonts w:cs="Arial"/>
          <w:szCs w:val="20"/>
        </w:rPr>
        <w:t>"Einnahmen (Art.65</w:t>
      </w:r>
      <w:r w:rsidR="009A4F49" w:rsidRPr="00D260B3">
        <w:rPr>
          <w:rFonts w:cs="Arial"/>
          <w:szCs w:val="20"/>
        </w:rPr>
        <w:t>)"</w:t>
      </w:r>
      <w:r w:rsidR="009A4F49">
        <w:rPr>
          <w:rFonts w:cs="Arial"/>
          <w:szCs w:val="20"/>
        </w:rPr>
        <w:t>auszuwählen.</w:t>
      </w:r>
      <w:r>
        <w:rPr>
          <w:rFonts w:cs="Arial"/>
          <w:szCs w:val="20"/>
        </w:rPr>
        <w:t xml:space="preserve"> Sofern er die Nettoeinnahmen bereits abschätzen kann, ist der entsprechende Betrag i</w:t>
      </w:r>
      <w:r w:rsidR="009A4F49">
        <w:rPr>
          <w:rFonts w:cs="Arial"/>
          <w:szCs w:val="20"/>
        </w:rPr>
        <w:t xml:space="preserve">m Feld Einnahmen </w:t>
      </w:r>
      <w:r>
        <w:rPr>
          <w:rFonts w:cs="Arial"/>
          <w:szCs w:val="20"/>
        </w:rPr>
        <w:t xml:space="preserve">zu erfassen. Wenn er die Einnahmen noch nicht abschätzen kann, </w:t>
      </w:r>
      <w:r w:rsidR="009A4F49">
        <w:rPr>
          <w:rFonts w:cs="Arial"/>
          <w:szCs w:val="20"/>
        </w:rPr>
        <w:t xml:space="preserve">ist Null zu erfassen. </w:t>
      </w:r>
    </w:p>
    <w:p w14:paraId="1651DE3A" w14:textId="77777777" w:rsidR="001E12D8" w:rsidRDefault="001E12D8" w:rsidP="00361ECA">
      <w:pPr>
        <w:ind w:left="360"/>
        <w:rPr>
          <w:rFonts w:cs="Arial"/>
          <w:szCs w:val="20"/>
        </w:rPr>
      </w:pPr>
      <w:r w:rsidRPr="00B64825">
        <w:rPr>
          <w:noProof/>
          <w:lang w:eastAsia="de-AT"/>
        </w:rPr>
        <mc:AlternateContent>
          <mc:Choice Requires="wps">
            <w:drawing>
              <wp:anchor distT="0" distB="0" distL="114300" distR="114300" simplePos="0" relativeHeight="251669504" behindDoc="0" locked="0" layoutInCell="1" allowOverlap="1" wp14:anchorId="25184832" wp14:editId="2F967A76">
                <wp:simplePos x="0" y="0"/>
                <wp:positionH relativeFrom="column">
                  <wp:posOffset>-119380</wp:posOffset>
                </wp:positionH>
                <wp:positionV relativeFrom="paragraph">
                  <wp:posOffset>130175</wp:posOffset>
                </wp:positionV>
                <wp:extent cx="370840" cy="81026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14:paraId="106A18C5" w14:textId="77777777" w:rsidR="001E12D8" w:rsidRPr="00AD5033" w:rsidRDefault="001E12D8" w:rsidP="001E12D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5184832" id="Textfeld 4" o:spid="_x0000_s1029" type="#_x0000_t202" style="position:absolute;left:0;text-align:left;margin-left:-9.4pt;margin-top:10.25pt;width:29.2pt;height:6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" filled="f" stroked="f">
                <v:textbox>
                  <w:txbxContent>
                    <w:p w14:paraId="106A18C5" w14:textId="77777777" w:rsidR="001E12D8" w:rsidRPr="00AD5033" w:rsidRDefault="001E12D8" w:rsidP="001E12D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14:paraId="5DC71988" w14:textId="77777777" w:rsidR="001E12D8" w:rsidRPr="00B72FD7" w:rsidRDefault="001E12D8" w:rsidP="001E12D8">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ind w:left="567"/>
        <w:rPr>
          <w:rFonts w:cs="Arial"/>
          <w:b/>
          <w:bCs/>
          <w:szCs w:val="20"/>
        </w:rPr>
      </w:pPr>
      <w:r w:rsidRPr="00B72FD7">
        <w:rPr>
          <w:rFonts w:cs="Arial"/>
          <w:b/>
          <w:bCs/>
          <w:szCs w:val="20"/>
        </w:rPr>
        <w:t>Hinweis:</w:t>
      </w:r>
    </w:p>
    <w:p w14:paraId="3A2B54AB" w14:textId="77777777" w:rsidR="001E12D8" w:rsidRPr="0002511D" w:rsidRDefault="001E12D8" w:rsidP="001E12D8">
      <w:pPr>
        <w:pBdr>
          <w:top w:val="single" w:sz="12" w:space="2" w:color="82AB28"/>
          <w:left w:val="single" w:sz="12" w:space="6" w:color="82AB28"/>
          <w:bottom w:val="single" w:sz="12" w:space="1" w:color="82AB28"/>
          <w:right w:val="single" w:sz="12" w:space="6" w:color="82AB28"/>
        </w:pBdr>
        <w:autoSpaceDE w:val="0"/>
        <w:autoSpaceDN w:val="0"/>
        <w:adjustRightInd w:val="0"/>
        <w:spacing w:before="120"/>
        <w:ind w:left="567"/>
      </w:pPr>
      <w:r>
        <w:rPr>
          <w:rFonts w:cs="Arial"/>
          <w:szCs w:val="20"/>
        </w:rPr>
        <w:t xml:space="preserve">Gemäß Abs. 8 Art. 65 VO (EU) 1303/2013 ist es nicht zwingend erforderlich bereits bei der Genehmigung die Einnahmen von den anrechenbaren Kosten abzuziehen. Wenn </w:t>
      </w:r>
      <w:r w:rsidR="00821469">
        <w:rPr>
          <w:rFonts w:cs="Arial"/>
          <w:szCs w:val="20"/>
        </w:rPr>
        <w:t xml:space="preserve">jedoch </w:t>
      </w:r>
      <w:r>
        <w:rPr>
          <w:rFonts w:cs="Arial"/>
          <w:szCs w:val="20"/>
        </w:rPr>
        <w:t>ein Abzug zum Zeitpunkt der Genehmigung erfolgt ist und der Förderungswerber während der Durchführung seines Vorhabens geringere Einnahmen erwirtschaftet, muss die Genehmigung geändert werden, damit der Förderungswerber den höheren Förderungsbetrag erhalten kann.</w:t>
      </w:r>
    </w:p>
    <w:p w14:paraId="2B5BEAEE" w14:textId="77777777" w:rsidR="001E12D8" w:rsidRPr="001E6599" w:rsidRDefault="001E12D8" w:rsidP="001E12D8">
      <w:pPr>
        <w:rPr>
          <w:rFonts w:cs="Arial"/>
          <w:szCs w:val="20"/>
        </w:rPr>
      </w:pPr>
    </w:p>
    <w:p w14:paraId="005078E4" w14:textId="77777777" w:rsidR="009A4F49" w:rsidRDefault="009A4F49" w:rsidP="009A4F49">
      <w:pPr>
        <w:ind w:left="360"/>
        <w:rPr>
          <w:rFonts w:cs="Arial"/>
          <w:szCs w:val="20"/>
        </w:rPr>
      </w:pPr>
    </w:p>
    <w:p w14:paraId="2A3A80CC" w14:textId="77777777" w:rsidR="009A4F49" w:rsidRPr="00CC6DFB" w:rsidRDefault="009A4F49" w:rsidP="00D260B3">
      <w:pPr>
        <w:ind w:firstLine="284"/>
        <w:rPr>
          <w:rFonts w:cs="Arial"/>
          <w:b/>
          <w:szCs w:val="20"/>
        </w:rPr>
      </w:pPr>
      <w:r w:rsidRPr="00CC6DFB">
        <w:rPr>
          <w:rFonts w:cs="Arial"/>
          <w:b/>
          <w:szCs w:val="20"/>
        </w:rPr>
        <w:t>Zum Zeitpunkt der Abrechnung:</w:t>
      </w:r>
    </w:p>
    <w:p w14:paraId="216BCDE8" w14:textId="77777777" w:rsidR="00F1346E" w:rsidRDefault="00361ECA" w:rsidP="00D260B3">
      <w:pPr>
        <w:ind w:left="284"/>
        <w:rPr>
          <w:rFonts w:cs="Arial"/>
          <w:szCs w:val="20"/>
        </w:rPr>
      </w:pPr>
      <w:r>
        <w:rPr>
          <w:rFonts w:cs="Arial"/>
          <w:szCs w:val="20"/>
        </w:rPr>
        <w:t xml:space="preserve">Im Rahmen der Abrechnung </w:t>
      </w:r>
      <w:r w:rsidR="00F1346E">
        <w:rPr>
          <w:rFonts w:cs="Arial"/>
          <w:szCs w:val="20"/>
        </w:rPr>
        <w:t>können die Einnahmen mit jedem Zahlungsantrag oder spätestens mit der Letztzahlung eingereicht werden</w:t>
      </w:r>
      <w:r w:rsidR="002F21E0">
        <w:rPr>
          <w:rFonts w:cs="Arial"/>
          <w:szCs w:val="20"/>
        </w:rPr>
        <w:t xml:space="preserve"> (siehe auch Benutzerhandbuch Punkt 4.11.2)</w:t>
      </w:r>
      <w:r w:rsidR="00F1346E">
        <w:rPr>
          <w:rFonts w:cs="Arial"/>
          <w:szCs w:val="20"/>
        </w:rPr>
        <w:t xml:space="preserve">. </w:t>
      </w:r>
    </w:p>
    <w:p w14:paraId="3FC6FD32" w14:textId="77777777" w:rsidR="00F1346E" w:rsidRDefault="00F1346E" w:rsidP="00D260B3">
      <w:pPr>
        <w:ind w:left="284"/>
        <w:rPr>
          <w:rFonts w:cs="Arial"/>
          <w:szCs w:val="20"/>
        </w:rPr>
      </w:pPr>
      <w:r>
        <w:rPr>
          <w:rFonts w:cs="Arial"/>
          <w:szCs w:val="20"/>
        </w:rPr>
        <w:t>Wichtig ist, dass die Gesamtkosten des jeweiligen Zahlungsantrags immer</w:t>
      </w:r>
      <w:r w:rsidR="00361ECA">
        <w:rPr>
          <w:rFonts w:cs="Arial"/>
          <w:szCs w:val="20"/>
        </w:rPr>
        <w:t xml:space="preserve"> </w:t>
      </w:r>
      <w:r w:rsidR="00274A87">
        <w:rPr>
          <w:rFonts w:cs="Arial"/>
          <w:szCs w:val="20"/>
        </w:rPr>
        <w:t xml:space="preserve">je Position </w:t>
      </w:r>
      <w:r>
        <w:rPr>
          <w:rFonts w:cs="Arial"/>
          <w:szCs w:val="20"/>
        </w:rPr>
        <w:t xml:space="preserve">im entsprechenden Zahlungsantrag erfasst werden. Die Gesamtkosten können gleich sein den anrechenbaren Kosten des Zahlungsantrags oder auch höher. </w:t>
      </w:r>
    </w:p>
    <w:p w14:paraId="4FEC3EAE" w14:textId="0320179A" w:rsidR="00F1346E" w:rsidRDefault="00F1346E" w:rsidP="00D260B3">
      <w:pPr>
        <w:ind w:left="284"/>
        <w:rPr>
          <w:rFonts w:cs="Arial"/>
          <w:szCs w:val="20"/>
        </w:rPr>
      </w:pPr>
      <w:r>
        <w:rPr>
          <w:rFonts w:cs="Arial"/>
          <w:szCs w:val="20"/>
        </w:rPr>
        <w:t>Die Einnahmen können pro Zahlungsantrag eingereicht und erfasst werden oder der Förderungswerber gibt seine gesamten Einnahmen, die er während der Projektlaufzeit hatte, erst mit dem letzten Zahlungsantrag bekannt. Dann sind die gesamten Einnahmen im Gegensatz zu den Gesamtkosten</w:t>
      </w:r>
      <w:r w:rsidR="00714386">
        <w:rPr>
          <w:rFonts w:cs="Arial"/>
          <w:szCs w:val="20"/>
        </w:rPr>
        <w:t>,</w:t>
      </w:r>
      <w:r>
        <w:rPr>
          <w:rFonts w:cs="Arial"/>
          <w:szCs w:val="20"/>
        </w:rPr>
        <w:t xml:space="preserve"> die auf Zahlungsantragsebene erfasst werden müssen, bei der Letztzahlung zu erfassen. </w:t>
      </w:r>
    </w:p>
    <w:p w14:paraId="352D790C" w14:textId="77777777" w:rsidR="00355F36" w:rsidRPr="002F737E" w:rsidRDefault="00F1346E" w:rsidP="00D260B3">
      <w:pPr>
        <w:ind w:left="284"/>
        <w:rPr>
          <w:rFonts w:cs="Arial"/>
          <w:color w:val="C45911" w:themeColor="accent2" w:themeShade="BF"/>
          <w:szCs w:val="20"/>
        </w:rPr>
      </w:pPr>
      <w:r w:rsidRPr="002F737E">
        <w:rPr>
          <w:rFonts w:cs="Arial"/>
          <w:color w:val="C45911" w:themeColor="accent2" w:themeShade="BF"/>
          <w:szCs w:val="20"/>
        </w:rPr>
        <w:t>Beispiel:</w:t>
      </w:r>
      <w:r w:rsidR="002F21E0" w:rsidRPr="002F737E">
        <w:rPr>
          <w:rFonts w:cs="Arial"/>
          <w:color w:val="C45911" w:themeColor="accent2" w:themeShade="BF"/>
          <w:szCs w:val="20"/>
        </w:rPr>
        <w:t xml:space="preserve"> </w:t>
      </w:r>
    </w:p>
    <w:p w14:paraId="2C89810D" w14:textId="77777777" w:rsidR="00F1346E" w:rsidRDefault="002F21E0" w:rsidP="00D260B3">
      <w:pPr>
        <w:ind w:left="284"/>
        <w:rPr>
          <w:rFonts w:cs="Arial"/>
          <w:szCs w:val="20"/>
        </w:rPr>
      </w:pPr>
      <w:r>
        <w:rPr>
          <w:rFonts w:cs="Arial"/>
          <w:szCs w:val="20"/>
        </w:rPr>
        <w:t>Förderungswerber reicht 3 Zahlungsanträge (ZA) ein.</w:t>
      </w:r>
    </w:p>
    <w:p w14:paraId="149318D5" w14:textId="77777777" w:rsidR="002F737E" w:rsidRDefault="00BC1983" w:rsidP="00355F36">
      <w:pPr>
        <w:pStyle w:val="Listenabsatz"/>
        <w:rPr>
          <w:rFonts w:cs="Arial"/>
          <w:szCs w:val="20"/>
        </w:rPr>
      </w:pPr>
      <w:r w:rsidRPr="00355F36">
        <w:rPr>
          <w:rFonts w:cs="Arial"/>
          <w:b/>
          <w:szCs w:val="20"/>
        </w:rPr>
        <w:t xml:space="preserve">1. </w:t>
      </w:r>
      <w:r w:rsidR="002F21E0" w:rsidRPr="00355F36">
        <w:rPr>
          <w:rFonts w:cs="Arial"/>
          <w:b/>
          <w:szCs w:val="20"/>
        </w:rPr>
        <w:t>ZA:</w:t>
      </w:r>
      <w:r w:rsidR="002F21E0" w:rsidRPr="00BC1983">
        <w:rPr>
          <w:rFonts w:cs="Arial"/>
          <w:szCs w:val="20"/>
        </w:rPr>
        <w:t xml:space="preserve"> Gesamtkosten = </w:t>
      </w:r>
      <w:r w:rsidRPr="00BC1983">
        <w:rPr>
          <w:rFonts w:cs="Arial"/>
          <w:szCs w:val="20"/>
        </w:rPr>
        <w:t>eingereichte</w:t>
      </w:r>
      <w:r w:rsidR="002F21E0" w:rsidRPr="00BC1983">
        <w:rPr>
          <w:rFonts w:cs="Arial"/>
          <w:szCs w:val="20"/>
        </w:rPr>
        <w:t xml:space="preserve"> Kosten = € 50.000,00. Im Rahmen der VWK gibt es keine Abzüge, daher w</w:t>
      </w:r>
      <w:r>
        <w:rPr>
          <w:rFonts w:cs="Arial"/>
          <w:szCs w:val="20"/>
        </w:rPr>
        <w:t>erden</w:t>
      </w:r>
      <w:r w:rsidR="002F21E0" w:rsidRPr="00BC1983">
        <w:rPr>
          <w:rFonts w:cs="Arial"/>
          <w:szCs w:val="20"/>
        </w:rPr>
        <w:t xml:space="preserve"> in der LEW in der Maske Zahlungsantrag Details </w:t>
      </w:r>
      <w:r>
        <w:rPr>
          <w:rFonts w:cs="Arial"/>
          <w:szCs w:val="20"/>
        </w:rPr>
        <w:t>im Feld „Kosten anrechenbar</w:t>
      </w:r>
      <w:r w:rsidRPr="00BC1983">
        <w:rPr>
          <w:rFonts w:cs="Arial"/>
          <w:szCs w:val="20"/>
        </w:rPr>
        <w:t xml:space="preserve"> nach VWK</w:t>
      </w:r>
      <w:r>
        <w:rPr>
          <w:rFonts w:cs="Arial"/>
          <w:szCs w:val="20"/>
        </w:rPr>
        <w:t>“</w:t>
      </w:r>
      <w:r w:rsidRPr="00BC1983">
        <w:rPr>
          <w:rFonts w:cs="Arial"/>
          <w:szCs w:val="20"/>
        </w:rPr>
        <w:t xml:space="preserve"> </w:t>
      </w:r>
      <w:r>
        <w:rPr>
          <w:rFonts w:cs="Arial"/>
          <w:szCs w:val="20"/>
        </w:rPr>
        <w:t>und im Feld „Gesamtkosten“ Kosten in Höhe von € 50.000,00 erfasst. Das Feld „Einnahmen“ wird nicht befüllt</w:t>
      </w:r>
      <w:r w:rsidR="002F737E">
        <w:rPr>
          <w:rFonts w:cs="Arial"/>
          <w:szCs w:val="20"/>
        </w:rPr>
        <w:t xml:space="preserve">. </w:t>
      </w:r>
    </w:p>
    <w:p w14:paraId="32289256" w14:textId="17C75734" w:rsidR="00BC1983" w:rsidRDefault="008A1CB9" w:rsidP="00355F36">
      <w:pPr>
        <w:pStyle w:val="Listenabsatz"/>
        <w:rPr>
          <w:rFonts w:cs="Arial"/>
          <w:szCs w:val="20"/>
        </w:rPr>
      </w:pPr>
      <w:r w:rsidRPr="00355F36">
        <w:rPr>
          <w:rFonts w:cs="Arial"/>
          <w:b/>
          <w:szCs w:val="20"/>
        </w:rPr>
        <w:t>2.ZA:</w:t>
      </w:r>
      <w:r>
        <w:rPr>
          <w:rFonts w:cs="Arial"/>
          <w:szCs w:val="20"/>
        </w:rPr>
        <w:t xml:space="preserve"> Eingereichte Kosten € 40.000,00. Im Zuge der VWK wird festgestellt, dass € 10.000,00 zwar dem Vorhaben zuordenbar, aber nicht für die Förderung anrechenbar sind. </w:t>
      </w:r>
    </w:p>
    <w:p w14:paraId="5982B313" w14:textId="4147DA3B" w:rsidR="008A1CB9" w:rsidRPr="002F21E0" w:rsidRDefault="008A1CB9" w:rsidP="00355F36">
      <w:pPr>
        <w:pStyle w:val="Listenabsatz"/>
        <w:rPr>
          <w:rFonts w:cs="Arial"/>
          <w:szCs w:val="20"/>
        </w:rPr>
      </w:pPr>
      <w:r>
        <w:rPr>
          <w:rFonts w:cs="Arial"/>
          <w:szCs w:val="20"/>
        </w:rPr>
        <w:t>Im Feld „Kosten anrechenbar</w:t>
      </w:r>
      <w:r w:rsidRPr="00BC1983">
        <w:rPr>
          <w:rFonts w:cs="Arial"/>
          <w:szCs w:val="20"/>
        </w:rPr>
        <w:t xml:space="preserve"> nach VWK</w:t>
      </w:r>
      <w:r>
        <w:rPr>
          <w:rFonts w:cs="Arial"/>
          <w:szCs w:val="20"/>
        </w:rPr>
        <w:t>“</w:t>
      </w:r>
      <w:r w:rsidRPr="00BC1983">
        <w:rPr>
          <w:rFonts w:cs="Arial"/>
          <w:szCs w:val="20"/>
        </w:rPr>
        <w:t xml:space="preserve"> </w:t>
      </w:r>
      <w:r>
        <w:rPr>
          <w:rFonts w:cs="Arial"/>
          <w:szCs w:val="20"/>
        </w:rPr>
        <w:t xml:space="preserve">werden € </w:t>
      </w:r>
      <w:r w:rsidR="002F737E">
        <w:rPr>
          <w:rFonts w:cs="Arial"/>
          <w:szCs w:val="20"/>
        </w:rPr>
        <w:t>30</w:t>
      </w:r>
      <w:r>
        <w:rPr>
          <w:rFonts w:cs="Arial"/>
          <w:szCs w:val="20"/>
        </w:rPr>
        <w:t xml:space="preserve">.000,00 eingetragen und im Feld „Gesamtkosten“ Kosten in Höhe von € </w:t>
      </w:r>
      <w:r w:rsidR="002F737E">
        <w:rPr>
          <w:rFonts w:cs="Arial"/>
          <w:szCs w:val="20"/>
        </w:rPr>
        <w:t>4</w:t>
      </w:r>
      <w:r>
        <w:rPr>
          <w:rFonts w:cs="Arial"/>
          <w:szCs w:val="20"/>
        </w:rPr>
        <w:t>0.000,00 erfasst. Das Feld „Einnahmen“ wird nicht befüllt</w:t>
      </w:r>
      <w:r w:rsidR="002F737E">
        <w:rPr>
          <w:rFonts w:cs="Arial"/>
          <w:szCs w:val="20"/>
        </w:rPr>
        <w:t>.</w:t>
      </w:r>
    </w:p>
    <w:p w14:paraId="061CC4D6" w14:textId="77777777" w:rsidR="00C22B79" w:rsidRDefault="008A1CB9" w:rsidP="00C22B79">
      <w:pPr>
        <w:pStyle w:val="Listenabsatz"/>
        <w:rPr>
          <w:rFonts w:cs="Arial"/>
          <w:szCs w:val="20"/>
        </w:rPr>
      </w:pPr>
      <w:r w:rsidRPr="002F737E">
        <w:rPr>
          <w:rFonts w:cs="Arial"/>
          <w:b/>
          <w:szCs w:val="20"/>
        </w:rPr>
        <w:t>3.ZA:</w:t>
      </w:r>
      <w:r>
        <w:rPr>
          <w:rFonts w:cs="Arial"/>
          <w:szCs w:val="20"/>
        </w:rPr>
        <w:t xml:space="preserve"> </w:t>
      </w:r>
      <w:r w:rsidR="00C22B79">
        <w:rPr>
          <w:rFonts w:cs="Arial"/>
          <w:szCs w:val="20"/>
        </w:rPr>
        <w:t xml:space="preserve">Mit dem ZA werden Gesamtkosten in Höhe von € 100.000,00 und anrechenbare Kosten (= Kosten eingereicht) in Höhe von € 70.000,00 beantragt. Zusätzlich werden alle Einnahmen für die gesamte Projektlaufzeit in Höhe von € 40.000,00 eingereicht. Im Rahmen der VWK können sowohl die beantragten „Gesamtkosten“ als auch die „Kosten eingereicht“ anerkannt werden. </w:t>
      </w:r>
    </w:p>
    <w:p w14:paraId="18B7EC8F" w14:textId="77777777" w:rsidR="00C22B79" w:rsidRDefault="00C22B79" w:rsidP="00C22B79">
      <w:pPr>
        <w:pStyle w:val="Listenabsatz"/>
        <w:rPr>
          <w:rFonts w:cs="Arial"/>
          <w:szCs w:val="20"/>
        </w:rPr>
      </w:pPr>
      <w:r>
        <w:rPr>
          <w:rFonts w:cs="Arial"/>
          <w:szCs w:val="20"/>
        </w:rPr>
        <w:lastRenderedPageBreak/>
        <w:t>Im Feld „Kosten anrechenbar</w:t>
      </w:r>
      <w:r w:rsidRPr="00BC1983">
        <w:rPr>
          <w:rFonts w:cs="Arial"/>
          <w:szCs w:val="20"/>
        </w:rPr>
        <w:t xml:space="preserve"> nach VWK</w:t>
      </w:r>
      <w:r>
        <w:rPr>
          <w:rFonts w:cs="Arial"/>
          <w:szCs w:val="20"/>
        </w:rPr>
        <w:t>“</w:t>
      </w:r>
      <w:r w:rsidRPr="00BC1983">
        <w:rPr>
          <w:rFonts w:cs="Arial"/>
          <w:szCs w:val="20"/>
        </w:rPr>
        <w:t xml:space="preserve"> </w:t>
      </w:r>
      <w:r>
        <w:rPr>
          <w:rFonts w:cs="Arial"/>
          <w:szCs w:val="20"/>
        </w:rPr>
        <w:t xml:space="preserve">werden somit € 70.000,00 eingetragen und im Feld „Gesamtkosten“ Kosten in Höhe von € 100.000,00 erfasst. In das Feld „Einnahmen“ können nun die gesamten Einnahmen in Höhe von € 40.000,00 erfasst werden.  </w:t>
      </w:r>
    </w:p>
    <w:p w14:paraId="62FAE0DF" w14:textId="77777777" w:rsidR="00C22B79" w:rsidRDefault="00C22B79" w:rsidP="00C22B79">
      <w:pPr>
        <w:pStyle w:val="Listenabsatz"/>
        <w:rPr>
          <w:rFonts w:cs="Arial"/>
          <w:szCs w:val="20"/>
        </w:rPr>
      </w:pPr>
    </w:p>
    <w:p w14:paraId="4D91AA52" w14:textId="77777777" w:rsidR="000F0176" w:rsidRDefault="000F0176" w:rsidP="000F0176">
      <w:pPr>
        <w:ind w:left="360"/>
        <w:rPr>
          <w:rFonts w:cs="Arial"/>
          <w:szCs w:val="20"/>
        </w:rPr>
      </w:pPr>
    </w:p>
    <w:p w14:paraId="683FE76D" w14:textId="77777777" w:rsidR="000F0176" w:rsidRPr="00B72FD7" w:rsidRDefault="000F0176" w:rsidP="000F0176">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ind w:left="567"/>
        <w:rPr>
          <w:rFonts w:cs="Arial"/>
          <w:b/>
          <w:bCs/>
          <w:szCs w:val="20"/>
        </w:rPr>
      </w:pPr>
      <w:r w:rsidRPr="00B72FD7">
        <w:rPr>
          <w:rFonts w:cs="Arial"/>
          <w:b/>
          <w:bCs/>
          <w:szCs w:val="20"/>
        </w:rPr>
        <w:t>Hinweis:</w:t>
      </w:r>
    </w:p>
    <w:p w14:paraId="769E200E" w14:textId="50EEFD93" w:rsidR="000F0176" w:rsidRPr="0002511D" w:rsidRDefault="000F0176" w:rsidP="000F0176">
      <w:pPr>
        <w:pBdr>
          <w:top w:val="single" w:sz="12" w:space="2" w:color="82AB28"/>
          <w:left w:val="single" w:sz="12" w:space="6" w:color="82AB28"/>
          <w:bottom w:val="single" w:sz="12" w:space="1" w:color="82AB28"/>
          <w:right w:val="single" w:sz="12" w:space="6" w:color="82AB28"/>
        </w:pBdr>
        <w:autoSpaceDE w:val="0"/>
        <w:autoSpaceDN w:val="0"/>
        <w:adjustRightInd w:val="0"/>
        <w:spacing w:before="120"/>
        <w:ind w:left="567"/>
      </w:pPr>
      <w:r>
        <w:rPr>
          <w:rFonts w:cs="Arial"/>
          <w:szCs w:val="20"/>
        </w:rPr>
        <w:t xml:space="preserve">Werden die </w:t>
      </w:r>
      <w:r w:rsidR="005D1C59">
        <w:rPr>
          <w:rFonts w:cs="Arial"/>
          <w:szCs w:val="20"/>
        </w:rPr>
        <w:t xml:space="preserve">gesamten </w:t>
      </w:r>
      <w:r>
        <w:rPr>
          <w:rFonts w:cs="Arial"/>
          <w:szCs w:val="20"/>
        </w:rPr>
        <w:t>Einnahmen mit einem Zahlungsantrag eingereicht, dann können sie bei dem ZA</w:t>
      </w:r>
      <w:r w:rsidR="00714386">
        <w:rPr>
          <w:rFonts w:cs="Arial"/>
          <w:szCs w:val="20"/>
        </w:rPr>
        <w:t>,</w:t>
      </w:r>
      <w:r>
        <w:rPr>
          <w:rFonts w:cs="Arial"/>
          <w:szCs w:val="20"/>
        </w:rPr>
        <w:t xml:space="preserve"> mit dem sie eingereicht wurden</w:t>
      </w:r>
      <w:r w:rsidR="00714386">
        <w:rPr>
          <w:rFonts w:cs="Arial"/>
          <w:szCs w:val="20"/>
        </w:rPr>
        <w:t>,</w:t>
      </w:r>
      <w:r>
        <w:rPr>
          <w:rFonts w:cs="Arial"/>
          <w:szCs w:val="20"/>
        </w:rPr>
        <w:t xml:space="preserve"> erfasst werden. Im Gegensatz </w:t>
      </w:r>
      <w:r w:rsidR="00714386">
        <w:rPr>
          <w:rFonts w:cs="Arial"/>
          <w:szCs w:val="20"/>
        </w:rPr>
        <w:t xml:space="preserve">dazu </w:t>
      </w:r>
      <w:r>
        <w:rPr>
          <w:rFonts w:cs="Arial"/>
          <w:szCs w:val="20"/>
        </w:rPr>
        <w:t xml:space="preserve">müssen die Gesamtkosten immer auf Zahlungsantragsebene erfasst werden. </w:t>
      </w:r>
    </w:p>
    <w:p w14:paraId="2B40A2A9" w14:textId="77777777" w:rsidR="000F0176" w:rsidRPr="001E6599" w:rsidRDefault="000F0176" w:rsidP="000F0176">
      <w:pPr>
        <w:rPr>
          <w:rFonts w:cs="Arial"/>
          <w:szCs w:val="20"/>
        </w:rPr>
      </w:pPr>
    </w:p>
    <w:p w14:paraId="69AD04AF" w14:textId="77777777" w:rsidR="009A4F49" w:rsidRDefault="009A4F49" w:rsidP="00FC725B">
      <w:pPr>
        <w:rPr>
          <w:rFonts w:cs="Arial"/>
          <w:szCs w:val="20"/>
        </w:rPr>
      </w:pPr>
    </w:p>
    <w:p w14:paraId="2D999EDE" w14:textId="77777777" w:rsidR="0033444F" w:rsidRDefault="0033444F" w:rsidP="0060719C">
      <w:pPr>
        <w:rPr>
          <w:rFonts w:cs="Arial"/>
          <w:b/>
          <w:szCs w:val="20"/>
        </w:rPr>
      </w:pPr>
      <w:r>
        <w:rPr>
          <w:rFonts w:cs="Arial"/>
          <w:b/>
          <w:szCs w:val="20"/>
        </w:rPr>
        <w:t>Gruppe 3:</w:t>
      </w:r>
    </w:p>
    <w:p w14:paraId="797076B3" w14:textId="77777777" w:rsidR="000B0157" w:rsidRPr="00D6411A" w:rsidRDefault="000B0157" w:rsidP="000D2900">
      <w:pPr>
        <w:ind w:left="284"/>
        <w:rPr>
          <w:rFonts w:cs="Arial"/>
          <w:b/>
          <w:szCs w:val="20"/>
        </w:rPr>
      </w:pPr>
      <w:r>
        <w:rPr>
          <w:rFonts w:cs="Arial"/>
          <w:b/>
          <w:szCs w:val="20"/>
        </w:rPr>
        <w:t>Ermittlung der Nettoeinnahmen bei Vorhaben, bei denen das EU-Beihilferecht angewendet wird</w:t>
      </w:r>
    </w:p>
    <w:p w14:paraId="6A8698E0" w14:textId="77777777" w:rsidR="000B0157" w:rsidRDefault="00205B0C" w:rsidP="000D2900">
      <w:pPr>
        <w:ind w:left="284"/>
        <w:rPr>
          <w:rFonts w:cs="Arial"/>
          <w:szCs w:val="20"/>
        </w:rPr>
      </w:pPr>
      <w:r w:rsidRPr="00172296">
        <w:rPr>
          <w:rFonts w:cs="Arial"/>
          <w:szCs w:val="20"/>
        </w:rPr>
        <w:t xml:space="preserve">Bei </w:t>
      </w:r>
      <w:r w:rsidR="00172296">
        <w:rPr>
          <w:rFonts w:cs="Arial"/>
          <w:szCs w:val="20"/>
        </w:rPr>
        <w:t xml:space="preserve">diesen </w:t>
      </w:r>
      <w:r>
        <w:rPr>
          <w:rFonts w:cs="Arial"/>
          <w:szCs w:val="20"/>
        </w:rPr>
        <w:t xml:space="preserve">Vorhaben wird davon ausgegangen, dass </w:t>
      </w:r>
      <w:r w:rsidR="00172296">
        <w:rPr>
          <w:rFonts w:cs="Arial"/>
          <w:szCs w:val="20"/>
        </w:rPr>
        <w:t xml:space="preserve">im Zuge der </w:t>
      </w:r>
      <w:r>
        <w:rPr>
          <w:rFonts w:cs="Arial"/>
          <w:szCs w:val="20"/>
        </w:rPr>
        <w:t>Bemessung der maximalen Beihilfeintensität</w:t>
      </w:r>
      <w:r w:rsidR="00274A87">
        <w:rPr>
          <w:rFonts w:cs="Arial"/>
          <w:szCs w:val="20"/>
        </w:rPr>
        <w:t xml:space="preserve"> </w:t>
      </w:r>
      <w:r w:rsidR="00172296">
        <w:rPr>
          <w:rFonts w:cs="Arial"/>
          <w:szCs w:val="20"/>
        </w:rPr>
        <w:t xml:space="preserve">oder durch die Begrenzung des Förderbetrags (De-minimis Beihilfe) </w:t>
      </w:r>
      <w:r>
        <w:rPr>
          <w:rFonts w:cs="Arial"/>
          <w:szCs w:val="20"/>
        </w:rPr>
        <w:t>bereits die potentiellen Einnahmen berücksichtigt wurden.</w:t>
      </w:r>
    </w:p>
    <w:p w14:paraId="48A3C049" w14:textId="792E6E3C" w:rsidR="00172296" w:rsidRDefault="00172296" w:rsidP="00970048">
      <w:pPr>
        <w:ind w:left="284"/>
        <w:rPr>
          <w:rFonts w:cs="Arial"/>
          <w:szCs w:val="20"/>
        </w:rPr>
      </w:pPr>
      <w:r>
        <w:rPr>
          <w:rFonts w:cs="Arial"/>
          <w:szCs w:val="20"/>
        </w:rPr>
        <w:t>Aus</w:t>
      </w:r>
      <w:r w:rsidR="00714386">
        <w:rPr>
          <w:rFonts w:cs="Arial"/>
          <w:szCs w:val="20"/>
        </w:rPr>
        <w:t>genommen</w:t>
      </w:r>
      <w:r>
        <w:rPr>
          <w:rFonts w:cs="Arial"/>
          <w:szCs w:val="20"/>
        </w:rPr>
        <w:t xml:space="preserve"> sind Vorhaben, bei denen der Förderungswerber nicht der Endbegünstigte ist</w:t>
      </w:r>
      <w:r w:rsidR="00274A87">
        <w:rPr>
          <w:rFonts w:cs="Arial"/>
          <w:szCs w:val="20"/>
        </w:rPr>
        <w:t xml:space="preserve"> oder </w:t>
      </w:r>
      <w:r w:rsidR="00C53FB9">
        <w:rPr>
          <w:rFonts w:cs="Arial"/>
          <w:szCs w:val="20"/>
        </w:rPr>
        <w:t xml:space="preserve">bei </w:t>
      </w:r>
      <w:r w:rsidR="00C53FB9" w:rsidRPr="00970048">
        <w:rPr>
          <w:rFonts w:cs="Arial"/>
          <w:szCs w:val="20"/>
        </w:rPr>
        <w:t>denen im Rahmen des Vorhabens produzierte Waren oder Dienstleistungen gegen einen finanziellen Beitrag angeboten bzw. verkauft werden</w:t>
      </w:r>
      <w:r w:rsidR="00970048">
        <w:rPr>
          <w:rFonts w:cs="Arial"/>
          <w:szCs w:val="20"/>
        </w:rPr>
        <w:t xml:space="preserve">. </w:t>
      </w:r>
      <w:r>
        <w:rPr>
          <w:rFonts w:cs="Arial"/>
          <w:szCs w:val="20"/>
        </w:rPr>
        <w:t>In diesen Fällen ist auszuschließen, dass es zu einer Überförderung des Projektträgers kommt</w:t>
      </w:r>
      <w:r w:rsidR="00D17F53">
        <w:rPr>
          <w:rFonts w:cs="Arial"/>
          <w:szCs w:val="20"/>
        </w:rPr>
        <w:t xml:space="preserve"> </w:t>
      </w:r>
      <w:r>
        <w:rPr>
          <w:rFonts w:cs="Arial"/>
          <w:szCs w:val="20"/>
        </w:rPr>
        <w:t>(siehe dazu Vorgaben für Gruppe 4).</w:t>
      </w:r>
      <w:r w:rsidR="00970048">
        <w:rPr>
          <w:rFonts w:cs="Arial"/>
          <w:szCs w:val="20"/>
        </w:rPr>
        <w:t xml:space="preserve"> Beispiel: In einem beihilferelevanten Vorhaben wird ein Buch erstellt (Text und Druck)</w:t>
      </w:r>
      <w:r w:rsidR="00714386">
        <w:rPr>
          <w:rFonts w:cs="Arial"/>
          <w:szCs w:val="20"/>
        </w:rPr>
        <w:t>,</w:t>
      </w:r>
      <w:r w:rsidR="00970048">
        <w:rPr>
          <w:rFonts w:cs="Arial"/>
          <w:szCs w:val="20"/>
        </w:rPr>
        <w:t xml:space="preserve"> das verkauft wird. Der Verkaufserlös ist in diesem Fall zu den Einnahmen zu rechnen. Wird der Druck außerhalb des Vorhabens durchgeführt, </w:t>
      </w:r>
      <w:r w:rsidR="006071B3">
        <w:rPr>
          <w:rFonts w:cs="Arial"/>
          <w:szCs w:val="20"/>
        </w:rPr>
        <w:t>sind die Einnahmen anteilsmäßig zwischen den Erstellungs</w:t>
      </w:r>
      <w:r w:rsidR="005D1C59">
        <w:rPr>
          <w:rFonts w:cs="Arial"/>
          <w:szCs w:val="20"/>
        </w:rPr>
        <w:t>-</w:t>
      </w:r>
      <w:r w:rsidR="006071B3">
        <w:rPr>
          <w:rFonts w:cs="Arial"/>
          <w:szCs w:val="20"/>
        </w:rPr>
        <w:t xml:space="preserve"> und den Druckkosten aufzuteilen. Jener Anteil, der den Erstellungskosten zugeordnet werden kann ist gemäß den Vorgaben für die Gruppe 4 zu berücksichtigen.</w:t>
      </w:r>
      <w:r w:rsidR="00970048">
        <w:rPr>
          <w:rFonts w:cs="Arial"/>
          <w:szCs w:val="20"/>
        </w:rPr>
        <w:t>.</w:t>
      </w:r>
      <w:bookmarkStart w:id="3" w:name="_GoBack"/>
      <w:bookmarkEnd w:id="3"/>
    </w:p>
    <w:p w14:paraId="4D149479" w14:textId="77777777" w:rsidR="0060719C" w:rsidRDefault="0060719C" w:rsidP="00FC725B">
      <w:pPr>
        <w:rPr>
          <w:rFonts w:cs="Arial"/>
          <w:szCs w:val="20"/>
        </w:rPr>
      </w:pPr>
    </w:p>
    <w:p w14:paraId="2990CBA3" w14:textId="77777777" w:rsidR="0046054F" w:rsidRPr="00CC6DFB" w:rsidRDefault="0046054F" w:rsidP="0046054F">
      <w:pPr>
        <w:ind w:left="360"/>
        <w:rPr>
          <w:rFonts w:cs="Arial"/>
          <w:b/>
          <w:szCs w:val="20"/>
        </w:rPr>
      </w:pPr>
      <w:r w:rsidRPr="00CC6DFB">
        <w:rPr>
          <w:rFonts w:cs="Arial"/>
          <w:b/>
          <w:szCs w:val="20"/>
        </w:rPr>
        <w:t>Erfassung der Einnahmen in der LEW-Datenbank:</w:t>
      </w:r>
    </w:p>
    <w:p w14:paraId="32E0F259" w14:textId="77777777" w:rsidR="0046054F" w:rsidRDefault="0046054F" w:rsidP="0046054F">
      <w:pPr>
        <w:ind w:left="360"/>
        <w:rPr>
          <w:rFonts w:cs="Arial"/>
          <w:szCs w:val="20"/>
        </w:rPr>
      </w:pPr>
      <w:r>
        <w:rPr>
          <w:rFonts w:cs="Arial"/>
          <w:szCs w:val="20"/>
        </w:rPr>
        <w:t>Weder zum Zeitpunkt der Genehmigung noch zum Zeitpunkt der Abrechnung sind Einnahmen in der LEW-DB zu erfassen.</w:t>
      </w:r>
    </w:p>
    <w:p w14:paraId="7ABE1AC4" w14:textId="77777777" w:rsidR="0046054F" w:rsidRPr="0073518D" w:rsidRDefault="0046054F" w:rsidP="0046054F">
      <w:pPr>
        <w:ind w:left="360"/>
        <w:rPr>
          <w:rFonts w:cs="Arial"/>
          <w:szCs w:val="20"/>
        </w:rPr>
      </w:pPr>
      <w:r>
        <w:rPr>
          <w:rFonts w:cs="Arial"/>
          <w:szCs w:val="20"/>
        </w:rPr>
        <w:t xml:space="preserve">Da die Kürzungsart </w:t>
      </w:r>
      <w:r w:rsidR="0073518D">
        <w:rPr>
          <w:rFonts w:cs="Arial"/>
          <w:szCs w:val="20"/>
        </w:rPr>
        <w:t>„</w:t>
      </w:r>
      <w:r>
        <w:rPr>
          <w:rFonts w:cs="Arial"/>
          <w:szCs w:val="20"/>
        </w:rPr>
        <w:t>keine oder nationale</w:t>
      </w:r>
      <w:r w:rsidR="0073518D">
        <w:rPr>
          <w:rFonts w:cs="Arial"/>
          <w:szCs w:val="20"/>
        </w:rPr>
        <w:t xml:space="preserve"> Regelung“ grundsätzlich standardmäßig in der LEW-DB vorgegeben ist</w:t>
      </w:r>
      <w:r w:rsidR="00FB3E84">
        <w:rPr>
          <w:rFonts w:cs="Arial"/>
          <w:szCs w:val="20"/>
        </w:rPr>
        <w:t>,</w:t>
      </w:r>
      <w:r w:rsidR="0073518D">
        <w:rPr>
          <w:rFonts w:cs="Arial"/>
          <w:szCs w:val="20"/>
        </w:rPr>
        <w:t xml:space="preserve"> muss hier betreffend die Einnahmen nichts zusätzlich erfasst werden.</w:t>
      </w:r>
    </w:p>
    <w:p w14:paraId="6A15DA9F" w14:textId="77777777" w:rsidR="0046054F" w:rsidRDefault="0046054F" w:rsidP="00FC725B">
      <w:pPr>
        <w:rPr>
          <w:rFonts w:cs="Arial"/>
          <w:szCs w:val="20"/>
        </w:rPr>
      </w:pPr>
    </w:p>
    <w:p w14:paraId="6370E4B2" w14:textId="77777777" w:rsidR="0046054F" w:rsidRDefault="0046054F" w:rsidP="00FC725B">
      <w:pPr>
        <w:rPr>
          <w:rFonts w:cs="Arial"/>
          <w:szCs w:val="20"/>
        </w:rPr>
      </w:pPr>
    </w:p>
    <w:p w14:paraId="7D025FD2" w14:textId="77777777" w:rsidR="0033444F" w:rsidRDefault="0033444F" w:rsidP="0060719C">
      <w:pPr>
        <w:rPr>
          <w:rFonts w:cs="Arial"/>
          <w:b/>
          <w:szCs w:val="20"/>
        </w:rPr>
      </w:pPr>
      <w:r>
        <w:rPr>
          <w:rFonts w:cs="Arial"/>
          <w:b/>
          <w:szCs w:val="20"/>
        </w:rPr>
        <w:t>Gruppe 4:</w:t>
      </w:r>
    </w:p>
    <w:p w14:paraId="5F22EF5A" w14:textId="77777777" w:rsidR="00190946" w:rsidRPr="00D6411A" w:rsidRDefault="00190946" w:rsidP="00274A87">
      <w:pPr>
        <w:ind w:left="284"/>
        <w:rPr>
          <w:rFonts w:cs="Arial"/>
          <w:b/>
          <w:szCs w:val="20"/>
        </w:rPr>
      </w:pPr>
      <w:r w:rsidRPr="00D6411A">
        <w:rPr>
          <w:rFonts w:cs="Arial"/>
          <w:b/>
          <w:szCs w:val="20"/>
        </w:rPr>
        <w:t xml:space="preserve">Berücksichtigung der Einnahmen bei Vorhaben, die </w:t>
      </w:r>
      <w:r w:rsidR="005179FE">
        <w:rPr>
          <w:rFonts w:cs="Arial"/>
          <w:b/>
          <w:szCs w:val="20"/>
        </w:rPr>
        <w:t>nicht den Gruppen 1-3 zuzuordnen sind</w:t>
      </w:r>
      <w:r w:rsidR="00274A87">
        <w:rPr>
          <w:rFonts w:cs="Arial"/>
          <w:b/>
          <w:szCs w:val="20"/>
        </w:rPr>
        <w:t xml:space="preserve"> inkl. der Ausnahmen der Gruppe 3</w:t>
      </w:r>
    </w:p>
    <w:p w14:paraId="5A453778" w14:textId="77777777" w:rsidR="00190946" w:rsidRDefault="00190946" w:rsidP="00082F9D">
      <w:pPr>
        <w:ind w:left="284"/>
        <w:rPr>
          <w:rFonts w:cs="Arial"/>
          <w:szCs w:val="20"/>
        </w:rPr>
      </w:pPr>
      <w:r w:rsidRPr="001E6599">
        <w:rPr>
          <w:rFonts w:cs="Arial"/>
          <w:szCs w:val="20"/>
        </w:rPr>
        <w:t xml:space="preserve">Für alle übrigen Vorhaben werden die </w:t>
      </w:r>
      <w:r w:rsidR="00D05BC7">
        <w:rPr>
          <w:rFonts w:cs="Arial"/>
          <w:szCs w:val="20"/>
        </w:rPr>
        <w:t>Einnahmen</w:t>
      </w:r>
      <w:r w:rsidR="00D05BC7" w:rsidRPr="001E6599">
        <w:rPr>
          <w:rFonts w:cs="Arial"/>
          <w:szCs w:val="20"/>
        </w:rPr>
        <w:t xml:space="preserve"> </w:t>
      </w:r>
      <w:r w:rsidRPr="001E6599">
        <w:rPr>
          <w:rFonts w:cs="Arial"/>
          <w:szCs w:val="20"/>
        </w:rPr>
        <w:t xml:space="preserve">spätestens bei der Endauszahlung, </w:t>
      </w:r>
      <w:r w:rsidR="00D05BC7">
        <w:rPr>
          <w:rFonts w:cs="Arial"/>
          <w:szCs w:val="20"/>
        </w:rPr>
        <w:t xml:space="preserve">berücksichtigt. Es geht darum </w:t>
      </w:r>
      <w:r w:rsidR="00D05BC7" w:rsidRPr="00D05BC7">
        <w:rPr>
          <w:rFonts w:cs="Arial"/>
          <w:szCs w:val="20"/>
        </w:rPr>
        <w:t xml:space="preserve">eine Überförderung </w:t>
      </w:r>
      <w:r w:rsidR="00D05BC7">
        <w:rPr>
          <w:rFonts w:cs="Arial"/>
          <w:szCs w:val="20"/>
        </w:rPr>
        <w:t>auszuschließen</w:t>
      </w:r>
      <w:r w:rsidR="00D05BC7" w:rsidRPr="00D05BC7">
        <w:rPr>
          <w:rFonts w:cs="Arial"/>
          <w:szCs w:val="20"/>
        </w:rPr>
        <w:t>. Aus diesem Grund sind die Einnahmen zur Deckung des Eigenmittelbedarfs bei Vorhaben der Gruppe 4 als Einnahmen zu berücksichtigen</w:t>
      </w:r>
      <w:r w:rsidR="00D05BC7">
        <w:rPr>
          <w:rFonts w:cs="Arial"/>
          <w:szCs w:val="20"/>
        </w:rPr>
        <w:t xml:space="preserve">. </w:t>
      </w:r>
    </w:p>
    <w:p w14:paraId="2C6DE663" w14:textId="77777777" w:rsidR="00D05BC7" w:rsidRDefault="00BF2760" w:rsidP="005A1D91">
      <w:pPr>
        <w:ind w:left="284"/>
        <w:rPr>
          <w:rFonts w:cs="Arial"/>
          <w:szCs w:val="20"/>
        </w:rPr>
      </w:pPr>
      <w:r>
        <w:rPr>
          <w:rFonts w:cs="Arial"/>
          <w:szCs w:val="20"/>
        </w:rPr>
        <w:t>Es gilt, dass die Summe aus allen Einnahmen (umfasst auch die Einnahmen zur Deckung des Eigenmittelbedarfs) und des Förderungsbetrags die Gesamtkosten eines Vorhabens nicht übersteigen darf.</w:t>
      </w:r>
    </w:p>
    <w:p w14:paraId="0F2C3E1B" w14:textId="77777777" w:rsidR="009F531B" w:rsidRDefault="009F531B">
      <w:pPr>
        <w:spacing w:after="160" w:line="259" w:lineRule="auto"/>
        <w:jc w:val="left"/>
        <w:rPr>
          <w:rFonts w:cs="Arial"/>
          <w:szCs w:val="20"/>
        </w:rPr>
      </w:pPr>
      <w:r>
        <w:rPr>
          <w:rFonts w:cs="Arial"/>
          <w:szCs w:val="20"/>
        </w:rPr>
        <w:br w:type="page"/>
      </w:r>
    </w:p>
    <w:p w14:paraId="2F5758FE" w14:textId="77777777" w:rsidR="00082F9D" w:rsidRPr="00CC6DFB" w:rsidRDefault="00082F9D" w:rsidP="00252DD0">
      <w:pPr>
        <w:ind w:left="284"/>
        <w:rPr>
          <w:rFonts w:cs="Arial"/>
          <w:b/>
          <w:szCs w:val="20"/>
        </w:rPr>
      </w:pPr>
      <w:r w:rsidRPr="00CC6DFB">
        <w:rPr>
          <w:rFonts w:cs="Arial"/>
          <w:b/>
          <w:szCs w:val="20"/>
        </w:rPr>
        <w:lastRenderedPageBreak/>
        <w:t>Erfassung der Einnahmen in der LEW-Datenbank:</w:t>
      </w:r>
    </w:p>
    <w:p w14:paraId="44FDD12E" w14:textId="77777777" w:rsidR="00082F9D" w:rsidRPr="00CC6DFB" w:rsidRDefault="00082F9D" w:rsidP="00252DD0">
      <w:pPr>
        <w:ind w:left="284"/>
        <w:rPr>
          <w:rFonts w:cs="Arial"/>
          <w:b/>
          <w:szCs w:val="20"/>
        </w:rPr>
      </w:pPr>
      <w:r w:rsidRPr="00CC6DFB">
        <w:rPr>
          <w:rFonts w:cs="Arial"/>
          <w:b/>
          <w:szCs w:val="20"/>
        </w:rPr>
        <w:t>Zum Zeitpunkt der Genehmigung:</w:t>
      </w:r>
    </w:p>
    <w:p w14:paraId="584EA16F" w14:textId="77777777" w:rsidR="009F531B" w:rsidRDefault="00DB0A25" w:rsidP="005A1D91">
      <w:pPr>
        <w:ind w:left="284"/>
        <w:rPr>
          <w:rFonts w:cs="Arial"/>
          <w:szCs w:val="20"/>
        </w:rPr>
      </w:pPr>
      <w:r>
        <w:rPr>
          <w:rFonts w:cs="Arial"/>
          <w:szCs w:val="20"/>
        </w:rPr>
        <w:t>Für diese Gruppe wird in der LEW-DB die Kürzungsart „keine oder nationale Regelung“ verwendet. Diese Kürzungsart ist standardmäßig vorgegeben und lässt die Erfassung von Einnahmen zum Zeitpunkt der Genehmigung nicht zu.</w:t>
      </w:r>
    </w:p>
    <w:p w14:paraId="5B94035A" w14:textId="77777777" w:rsidR="009F531B" w:rsidRDefault="009F531B" w:rsidP="00DB0A25">
      <w:pPr>
        <w:ind w:left="284"/>
        <w:rPr>
          <w:rFonts w:cs="Arial"/>
          <w:szCs w:val="20"/>
        </w:rPr>
      </w:pPr>
      <w:r>
        <w:rPr>
          <w:rFonts w:cs="Arial"/>
          <w:szCs w:val="20"/>
        </w:rPr>
        <w:t xml:space="preserve">Grundsätzlich wird davon ausgegangen, dass die Einnahmen von Vorhaben der Gruppe vier erst bei der Abrechnung bekanntgegeben und berücksichtigt werden. </w:t>
      </w:r>
    </w:p>
    <w:p w14:paraId="58518057" w14:textId="77777777" w:rsidR="00082F9D" w:rsidRDefault="009F531B" w:rsidP="005A1D91">
      <w:pPr>
        <w:ind w:left="284"/>
        <w:rPr>
          <w:rFonts w:cs="Arial"/>
          <w:szCs w:val="20"/>
        </w:rPr>
      </w:pPr>
      <w:r>
        <w:rPr>
          <w:rFonts w:cs="Arial"/>
          <w:szCs w:val="20"/>
        </w:rPr>
        <w:t>Gibt der Förderungswerber zum Zeitpunkt der Antragstellung bereits seine geschätzten Einnahmen bekannt</w:t>
      </w:r>
      <w:r w:rsidR="00252DD0">
        <w:rPr>
          <w:rFonts w:cs="Arial"/>
          <w:szCs w:val="20"/>
        </w:rPr>
        <w:t xml:space="preserve"> und die Prüfung </w:t>
      </w:r>
      <w:r>
        <w:rPr>
          <w:rFonts w:cs="Arial"/>
          <w:szCs w:val="20"/>
        </w:rPr>
        <w:t>ergibt, dass der Förderungsbetrag</w:t>
      </w:r>
      <w:r w:rsidR="00DB0A25">
        <w:rPr>
          <w:rFonts w:cs="Arial"/>
          <w:szCs w:val="20"/>
        </w:rPr>
        <w:t xml:space="preserve"> zu kürzen ist, muss die BST den Förderbetrag max. entsprechend kürzen. </w:t>
      </w:r>
    </w:p>
    <w:p w14:paraId="49B571FB" w14:textId="77777777" w:rsidR="00082F9D" w:rsidRDefault="00082F9D" w:rsidP="005A1D91">
      <w:pPr>
        <w:ind w:left="284"/>
        <w:rPr>
          <w:rFonts w:cs="Arial"/>
          <w:szCs w:val="20"/>
        </w:rPr>
      </w:pPr>
    </w:p>
    <w:p w14:paraId="50E284FF" w14:textId="77777777" w:rsidR="00252DD0" w:rsidRPr="00B72FD7" w:rsidRDefault="00252DD0" w:rsidP="00252DD0">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ind w:left="567"/>
        <w:rPr>
          <w:rFonts w:cs="Arial"/>
          <w:b/>
          <w:bCs/>
          <w:szCs w:val="20"/>
        </w:rPr>
      </w:pPr>
      <w:r w:rsidRPr="00B72FD7">
        <w:rPr>
          <w:rFonts w:cs="Arial"/>
          <w:b/>
          <w:bCs/>
          <w:szCs w:val="20"/>
        </w:rPr>
        <w:t>Hinweis:</w:t>
      </w:r>
    </w:p>
    <w:p w14:paraId="1D150A2C" w14:textId="77777777" w:rsidR="00252DD0" w:rsidRPr="0002511D" w:rsidRDefault="00252DD0" w:rsidP="00252DD0">
      <w:pPr>
        <w:pBdr>
          <w:top w:val="single" w:sz="12" w:space="2" w:color="82AB28"/>
          <w:left w:val="single" w:sz="12" w:space="6" w:color="82AB28"/>
          <w:bottom w:val="single" w:sz="12" w:space="1" w:color="82AB28"/>
          <w:right w:val="single" w:sz="12" w:space="6" w:color="82AB28"/>
        </w:pBdr>
        <w:autoSpaceDE w:val="0"/>
        <w:autoSpaceDN w:val="0"/>
        <w:adjustRightInd w:val="0"/>
        <w:spacing w:before="120"/>
        <w:ind w:left="567"/>
      </w:pPr>
      <w:r>
        <w:rPr>
          <w:rFonts w:cs="Arial"/>
          <w:szCs w:val="20"/>
        </w:rPr>
        <w:t xml:space="preserve">Wenn die Berücksichtigung der geschätzten Einnahmen zum Zeitpunkt der Genehmigung erfolgt ist und der Förderungswerber während der Durchführung seines Vorhabens geringere Einnahmen erwirtschaftet, muss die Genehmigung geändert werden, damit der Förderungswerber den höheren Förderungsbetrag erhalten kann. </w:t>
      </w:r>
    </w:p>
    <w:p w14:paraId="4B34042A" w14:textId="77777777" w:rsidR="00252DD0" w:rsidRDefault="00252DD0" w:rsidP="005A1D91">
      <w:pPr>
        <w:ind w:left="284"/>
        <w:rPr>
          <w:rFonts w:cs="Arial"/>
          <w:szCs w:val="20"/>
        </w:rPr>
      </w:pPr>
    </w:p>
    <w:p w14:paraId="2590925B" w14:textId="77777777" w:rsidR="00082F9D" w:rsidRPr="00CC6DFB" w:rsidRDefault="00082F9D" w:rsidP="00252DD0">
      <w:pPr>
        <w:ind w:left="284"/>
        <w:rPr>
          <w:rFonts w:cs="Arial"/>
          <w:b/>
          <w:szCs w:val="20"/>
        </w:rPr>
      </w:pPr>
      <w:r w:rsidRPr="00CC6DFB">
        <w:rPr>
          <w:rFonts w:cs="Arial"/>
          <w:b/>
          <w:szCs w:val="20"/>
        </w:rPr>
        <w:t>Zum Zeitpunkt der Abrechnung:</w:t>
      </w:r>
    </w:p>
    <w:p w14:paraId="364B7165" w14:textId="77777777" w:rsidR="00252DD0" w:rsidRDefault="00252DD0" w:rsidP="00252DD0">
      <w:pPr>
        <w:ind w:left="284"/>
        <w:rPr>
          <w:rFonts w:cs="Arial"/>
          <w:szCs w:val="20"/>
        </w:rPr>
      </w:pPr>
      <w:r>
        <w:rPr>
          <w:rFonts w:cs="Arial"/>
          <w:szCs w:val="20"/>
        </w:rPr>
        <w:t>Die Vorgangsweise für die Erfassung der Einnahmen ist gleich wie bei der Erfassung der Gruppe 2. Die Einnahmen können mit jedem Zahlungsantrag oder spätestens mit der Letztzahlung eingereicht werden (siehe auch Benutzerhandbuch Punkt 4.11.2). Werden mit jedem Zahlungsantrag Einnahmen bekannt gegeben sind sie bei jedem ZA zu erfassen, werden sie nur mit dem letzten ZA eingereicht</w:t>
      </w:r>
      <w:r w:rsidR="004E2369">
        <w:rPr>
          <w:rFonts w:cs="Arial"/>
          <w:szCs w:val="20"/>
        </w:rPr>
        <w:t>,</w:t>
      </w:r>
      <w:r>
        <w:rPr>
          <w:rFonts w:cs="Arial"/>
          <w:szCs w:val="20"/>
        </w:rPr>
        <w:t xml:space="preserve"> sind sie bei der Letztzahlung zu erfassen.</w:t>
      </w:r>
    </w:p>
    <w:p w14:paraId="0749FC59" w14:textId="77777777" w:rsidR="00252DD0" w:rsidRDefault="00252DD0" w:rsidP="00252DD0">
      <w:pPr>
        <w:ind w:left="284"/>
        <w:rPr>
          <w:rFonts w:cs="Arial"/>
          <w:szCs w:val="20"/>
        </w:rPr>
      </w:pPr>
      <w:r>
        <w:rPr>
          <w:rFonts w:cs="Arial"/>
          <w:szCs w:val="20"/>
        </w:rPr>
        <w:t xml:space="preserve">Wichtig ist auch hier, dass die Gesamtkosten des jeweiligen Zahlungsantrags immer je Position im entsprechenden Zahlungsantrag erfasst werden. Die Gesamtkosten können gleich sein den anrechenbaren Kosten des Zahlungsantrags oder auch höher. </w:t>
      </w:r>
    </w:p>
    <w:p w14:paraId="3C628ED7" w14:textId="77777777" w:rsidR="00082F9D" w:rsidRDefault="00252DD0" w:rsidP="00252DD0">
      <w:pPr>
        <w:ind w:left="284"/>
        <w:rPr>
          <w:rFonts w:cs="Arial"/>
          <w:szCs w:val="20"/>
        </w:rPr>
      </w:pPr>
      <w:r>
        <w:rPr>
          <w:rFonts w:cs="Arial"/>
          <w:szCs w:val="20"/>
        </w:rPr>
        <w:t>Der Unterschied zur Gruppe 2 besteht darin, dass die Kürzungsart „keine oder nationale Regelung“</w:t>
      </w:r>
    </w:p>
    <w:p w14:paraId="2C0EA3E6" w14:textId="77777777" w:rsidR="00252DD0" w:rsidRDefault="00252DD0" w:rsidP="005A1D91">
      <w:pPr>
        <w:ind w:left="284"/>
        <w:rPr>
          <w:rFonts w:cs="Arial"/>
          <w:szCs w:val="20"/>
        </w:rPr>
      </w:pPr>
      <w:r>
        <w:rPr>
          <w:rFonts w:cs="Arial"/>
          <w:szCs w:val="20"/>
        </w:rPr>
        <w:t>ausgewählt werden muss. Damit werden die Einnahmen nicht von den anrechenbaren Kosten abgezogen, sondern es wird lediglich der Förderbetrag gekürzt, wenn die Summe aus Einnahmen und Förderbetrag die Gesamtkosten übersteigt.</w:t>
      </w:r>
    </w:p>
    <w:p w14:paraId="48B28792" w14:textId="77777777" w:rsidR="000D2900" w:rsidRDefault="000D2900" w:rsidP="00BF2760">
      <w:pPr>
        <w:rPr>
          <w:rFonts w:cs="Arial"/>
          <w:color w:val="C45911" w:themeColor="accent2" w:themeShade="BF"/>
          <w:szCs w:val="20"/>
        </w:rPr>
      </w:pPr>
    </w:p>
    <w:p w14:paraId="0407BDCA" w14:textId="77777777" w:rsidR="005B327C" w:rsidRPr="005B327C" w:rsidRDefault="005B327C" w:rsidP="00BF2760">
      <w:pPr>
        <w:rPr>
          <w:rFonts w:cs="Arial"/>
          <w:color w:val="C45911" w:themeColor="accent2" w:themeShade="BF"/>
          <w:szCs w:val="20"/>
        </w:rPr>
      </w:pPr>
      <w:r w:rsidRPr="005B327C">
        <w:rPr>
          <w:rFonts w:cs="Arial"/>
          <w:color w:val="C45911" w:themeColor="accent2" w:themeShade="BF"/>
          <w:szCs w:val="20"/>
        </w:rPr>
        <w:t>Beispiele</w:t>
      </w:r>
      <w:r w:rsidR="00252DD0">
        <w:rPr>
          <w:rFonts w:cs="Arial"/>
          <w:color w:val="C45911" w:themeColor="accent2" w:themeShade="BF"/>
          <w:szCs w:val="20"/>
        </w:rPr>
        <w:t xml:space="preserve"> für Einnahmen</w:t>
      </w:r>
      <w:r w:rsidRPr="005B327C">
        <w:rPr>
          <w:rFonts w:cs="Arial"/>
          <w:color w:val="C45911" w:themeColor="accent2" w:themeShade="BF"/>
          <w:szCs w:val="20"/>
        </w:rPr>
        <w:t>:</w:t>
      </w:r>
    </w:p>
    <w:p w14:paraId="3808A861" w14:textId="77777777" w:rsidR="005B327C" w:rsidRPr="005B327C" w:rsidRDefault="005B327C" w:rsidP="005B327C">
      <w:pPr>
        <w:pStyle w:val="Listenabsatz"/>
        <w:numPr>
          <w:ilvl w:val="0"/>
          <w:numId w:val="5"/>
        </w:numPr>
        <w:rPr>
          <w:rFonts w:cs="Arial"/>
          <w:szCs w:val="20"/>
        </w:rPr>
      </w:pPr>
      <w:r w:rsidRPr="005B327C">
        <w:rPr>
          <w:rFonts w:cs="Arial"/>
          <w:szCs w:val="20"/>
        </w:rPr>
        <w:t>Teilnehmergebühren bei Kursen oder Führungen</w:t>
      </w:r>
    </w:p>
    <w:p w14:paraId="3F305B58" w14:textId="77777777" w:rsidR="005B327C" w:rsidRPr="005B327C" w:rsidRDefault="005B327C" w:rsidP="005B327C">
      <w:pPr>
        <w:pStyle w:val="Listenabsatz"/>
        <w:numPr>
          <w:ilvl w:val="0"/>
          <w:numId w:val="5"/>
        </w:numPr>
        <w:rPr>
          <w:rFonts w:cs="Arial"/>
          <w:szCs w:val="20"/>
        </w:rPr>
      </w:pPr>
      <w:r w:rsidRPr="005B327C">
        <w:rPr>
          <w:rFonts w:cs="Arial"/>
          <w:szCs w:val="20"/>
        </w:rPr>
        <w:t xml:space="preserve">Einnahmen aus dem Verkauf von Büchern, Wanderkarten etc. die in einem Vorhaben hergestellt werden. In diesen Fällen ergeben sich die Einnahmen aus der Anzahl der zum Verkauf angebotenen Werke mal dem Verkaufspreis. Es ist unerheblich, ob </w:t>
      </w:r>
      <w:r w:rsidR="001B4891">
        <w:rPr>
          <w:rFonts w:cs="Arial"/>
          <w:szCs w:val="20"/>
        </w:rPr>
        <w:t xml:space="preserve">bis zum Ende der Durchführungsfrist bereits </w:t>
      </w:r>
      <w:r w:rsidRPr="005B327C">
        <w:rPr>
          <w:rFonts w:cs="Arial"/>
          <w:szCs w:val="20"/>
        </w:rPr>
        <w:t xml:space="preserve">alles verkauft wurde </w:t>
      </w:r>
      <w:r w:rsidR="001B4891">
        <w:rPr>
          <w:rFonts w:cs="Arial"/>
          <w:szCs w:val="20"/>
        </w:rPr>
        <w:t xml:space="preserve">oder nicht. </w:t>
      </w:r>
      <w:r w:rsidRPr="005B327C">
        <w:rPr>
          <w:rFonts w:cs="Arial"/>
          <w:szCs w:val="20"/>
        </w:rPr>
        <w:t xml:space="preserve"> </w:t>
      </w:r>
    </w:p>
    <w:sectPr w:rsidR="005B327C" w:rsidRPr="005B327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8CCD4" w14:textId="77777777" w:rsidR="009D691A" w:rsidRDefault="009D691A" w:rsidP="000D2900">
      <w:pPr>
        <w:spacing w:after="0" w:line="240" w:lineRule="auto"/>
      </w:pPr>
      <w:r>
        <w:separator/>
      </w:r>
    </w:p>
  </w:endnote>
  <w:endnote w:type="continuationSeparator" w:id="0">
    <w:p w14:paraId="6F1747CB" w14:textId="77777777" w:rsidR="009D691A" w:rsidRDefault="009D691A" w:rsidP="000D2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Miriam Fixed">
    <w:charset w:val="B1"/>
    <w:family w:val="modern"/>
    <w:pitch w:val="fixed"/>
    <w:sig w:usb0="00000801" w:usb1="00000000" w:usb2="00000000" w:usb3="00000000" w:csb0="00000020"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62BB7" w14:textId="49EDD389" w:rsidR="000D2900" w:rsidRDefault="000D2900" w:rsidP="000D2900">
    <w:pPr>
      <w:pStyle w:val="Fuzeile"/>
      <w:tabs>
        <w:tab w:val="left" w:pos="270"/>
        <w:tab w:val="left" w:pos="3645"/>
      </w:tabs>
      <w:jc w:val="left"/>
    </w:pPr>
    <w:r>
      <w:rPr>
        <w:lang w:val="de-DE"/>
      </w:rPr>
      <w:tab/>
    </w:r>
    <w:r>
      <w:rPr>
        <w:lang w:val="de-DE"/>
      </w:rPr>
      <w:tab/>
    </w:r>
    <w:r>
      <w:rPr>
        <w:lang w:val="de-DE"/>
      </w:rPr>
      <w:tab/>
      <w:t xml:space="preserve">Seite </w:t>
    </w:r>
    <w:r>
      <w:rPr>
        <w:b/>
        <w:bCs/>
      </w:rPr>
      <w:fldChar w:fldCharType="begin"/>
    </w:r>
    <w:r>
      <w:rPr>
        <w:b/>
        <w:bCs/>
      </w:rPr>
      <w:instrText>PAGE  \* Arabic  \* MERGEFORMAT</w:instrText>
    </w:r>
    <w:r>
      <w:rPr>
        <w:b/>
        <w:bCs/>
      </w:rPr>
      <w:fldChar w:fldCharType="separate"/>
    </w:r>
    <w:r w:rsidR="00C354D4">
      <w:rPr>
        <w:b/>
        <w:bCs/>
        <w:noProof/>
      </w:rPr>
      <w:t>11</w:t>
    </w:r>
    <w:r>
      <w:rPr>
        <w:b/>
        <w:bCs/>
      </w:rPr>
      <w:fldChar w:fldCharType="end"/>
    </w:r>
    <w:r>
      <w:rPr>
        <w:lang w:val="de-DE"/>
      </w:rPr>
      <w:t xml:space="preserve"> von </w:t>
    </w:r>
    <w:r>
      <w:rPr>
        <w:b/>
        <w:bCs/>
      </w:rPr>
      <w:fldChar w:fldCharType="begin"/>
    </w:r>
    <w:r>
      <w:rPr>
        <w:b/>
        <w:bCs/>
      </w:rPr>
      <w:instrText>NUMPAGES  \* Arabic  \* MERGEFORMAT</w:instrText>
    </w:r>
    <w:r>
      <w:rPr>
        <w:b/>
        <w:bCs/>
      </w:rPr>
      <w:fldChar w:fldCharType="separate"/>
    </w:r>
    <w:r w:rsidR="00C354D4" w:rsidRPr="00C354D4">
      <w:rPr>
        <w:b/>
        <w:bCs/>
        <w:noProof/>
        <w:lang w:val="de-DE"/>
      </w:rPr>
      <w:t>11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D914D" w14:textId="77777777" w:rsidR="009D691A" w:rsidRDefault="009D691A" w:rsidP="000D2900">
      <w:pPr>
        <w:spacing w:after="0" w:line="240" w:lineRule="auto"/>
      </w:pPr>
      <w:r>
        <w:separator/>
      </w:r>
    </w:p>
  </w:footnote>
  <w:footnote w:type="continuationSeparator" w:id="0">
    <w:p w14:paraId="6F9ED064" w14:textId="77777777" w:rsidR="009D691A" w:rsidRDefault="009D691A" w:rsidP="000D2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65EA1"/>
    <w:multiLevelType w:val="hybridMultilevel"/>
    <w:tmpl w:val="35B4C5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6EF5214"/>
    <w:multiLevelType w:val="hybridMultilevel"/>
    <w:tmpl w:val="4490CF92"/>
    <w:lvl w:ilvl="0" w:tplc="0C070001">
      <w:start w:val="1"/>
      <w:numFmt w:val="bullet"/>
      <w:lvlText w:val=""/>
      <w:lvlJc w:val="left"/>
      <w:pPr>
        <w:ind w:left="720" w:hanging="360"/>
      </w:pPr>
      <w:rPr>
        <w:rFonts w:ascii="Symbol" w:hAnsi="Symbol" w:hint="default"/>
      </w:rPr>
    </w:lvl>
    <w:lvl w:ilvl="1" w:tplc="FA5E9AF6">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86E38B2"/>
    <w:multiLevelType w:val="multilevel"/>
    <w:tmpl w:val="FB105A16"/>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2B493F71"/>
    <w:multiLevelType w:val="hybridMultilevel"/>
    <w:tmpl w:val="A6D6DFCA"/>
    <w:lvl w:ilvl="0" w:tplc="4CE2C7A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F91114D"/>
    <w:multiLevelType w:val="hybridMultilevel"/>
    <w:tmpl w:val="C5002D60"/>
    <w:lvl w:ilvl="0" w:tplc="0C070017">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7F85DC9"/>
    <w:multiLevelType w:val="hybridMultilevel"/>
    <w:tmpl w:val="F6A6D4C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86C1944"/>
    <w:multiLevelType w:val="hybridMultilevel"/>
    <w:tmpl w:val="7F322E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63206A6"/>
    <w:multiLevelType w:val="hybridMultilevel"/>
    <w:tmpl w:val="9EDE1632"/>
    <w:lvl w:ilvl="0" w:tplc="D3CEFFD2">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8" w15:restartNumberingAfterBreak="0">
    <w:nsid w:val="58A32FC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AC61D54"/>
    <w:multiLevelType w:val="hybridMultilevel"/>
    <w:tmpl w:val="35729ED0"/>
    <w:lvl w:ilvl="0" w:tplc="F57EA256">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0" w15:restartNumberingAfterBreak="0">
    <w:nsid w:val="616D59EA"/>
    <w:multiLevelType w:val="hybridMultilevel"/>
    <w:tmpl w:val="815C4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1CC1484"/>
    <w:multiLevelType w:val="hybridMultilevel"/>
    <w:tmpl w:val="D3306B2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E115F6D"/>
    <w:multiLevelType w:val="hybridMultilevel"/>
    <w:tmpl w:val="D5BE5AF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10050D7"/>
    <w:multiLevelType w:val="hybridMultilevel"/>
    <w:tmpl w:val="0F347D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28D5287"/>
    <w:multiLevelType w:val="hybridMultilevel"/>
    <w:tmpl w:val="97122BCC"/>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15" w15:restartNumberingAfterBreak="0">
    <w:nsid w:val="731F4C81"/>
    <w:multiLevelType w:val="hybridMultilevel"/>
    <w:tmpl w:val="5C440432"/>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6" w15:restartNumberingAfterBreak="0">
    <w:nsid w:val="7EA71FFB"/>
    <w:multiLevelType w:val="hybridMultilevel"/>
    <w:tmpl w:val="D78237D4"/>
    <w:lvl w:ilvl="0" w:tplc="97C2584C">
      <w:start w:val="1"/>
      <w:numFmt w:val="decimal"/>
      <w:lvlText w:val="%1."/>
      <w:lvlJc w:val="left"/>
      <w:pPr>
        <w:ind w:left="1440" w:hanging="360"/>
      </w:pPr>
      <w:rPr>
        <w:rFonts w:hint="default"/>
      </w:r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num w:numId="1">
    <w:abstractNumId w:val="2"/>
  </w:num>
  <w:num w:numId="2">
    <w:abstractNumId w:val="4"/>
  </w:num>
  <w:num w:numId="3">
    <w:abstractNumId w:val="10"/>
  </w:num>
  <w:num w:numId="4">
    <w:abstractNumId w:val="12"/>
  </w:num>
  <w:num w:numId="5">
    <w:abstractNumId w:val="6"/>
  </w:num>
  <w:num w:numId="6">
    <w:abstractNumId w:val="1"/>
  </w:num>
  <w:num w:numId="7">
    <w:abstractNumId w:val="13"/>
  </w:num>
  <w:num w:numId="8">
    <w:abstractNumId w:val="0"/>
  </w:num>
  <w:num w:numId="9">
    <w:abstractNumId w:val="9"/>
  </w:num>
  <w:num w:numId="10">
    <w:abstractNumId w:val="11"/>
  </w:num>
  <w:num w:numId="11">
    <w:abstractNumId w:val="7"/>
  </w:num>
  <w:num w:numId="12">
    <w:abstractNumId w:val="8"/>
  </w:num>
  <w:num w:numId="13">
    <w:abstractNumId w:val="16"/>
  </w:num>
  <w:num w:numId="14">
    <w:abstractNumId w:val="14"/>
  </w:num>
  <w:num w:numId="15">
    <w:abstractNumId w:val="15"/>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976"/>
    <w:rsid w:val="00001FAE"/>
    <w:rsid w:val="000028A1"/>
    <w:rsid w:val="00011B95"/>
    <w:rsid w:val="00013D03"/>
    <w:rsid w:val="0002511D"/>
    <w:rsid w:val="00030F77"/>
    <w:rsid w:val="00044D64"/>
    <w:rsid w:val="000508D3"/>
    <w:rsid w:val="0006320E"/>
    <w:rsid w:val="000633AD"/>
    <w:rsid w:val="00065981"/>
    <w:rsid w:val="00076BFB"/>
    <w:rsid w:val="00077406"/>
    <w:rsid w:val="00081DC7"/>
    <w:rsid w:val="00082F9D"/>
    <w:rsid w:val="0008741B"/>
    <w:rsid w:val="000A03BC"/>
    <w:rsid w:val="000A7DCC"/>
    <w:rsid w:val="000B0157"/>
    <w:rsid w:val="000B0233"/>
    <w:rsid w:val="000B035E"/>
    <w:rsid w:val="000B057E"/>
    <w:rsid w:val="000B22ED"/>
    <w:rsid w:val="000C2BDC"/>
    <w:rsid w:val="000D2900"/>
    <w:rsid w:val="000D3262"/>
    <w:rsid w:val="000F0176"/>
    <w:rsid w:val="000F06D2"/>
    <w:rsid w:val="001020BA"/>
    <w:rsid w:val="00105D43"/>
    <w:rsid w:val="00105F58"/>
    <w:rsid w:val="00116B21"/>
    <w:rsid w:val="00116F2E"/>
    <w:rsid w:val="00122BEC"/>
    <w:rsid w:val="0012333B"/>
    <w:rsid w:val="001242BE"/>
    <w:rsid w:val="00145537"/>
    <w:rsid w:val="00151527"/>
    <w:rsid w:val="00151DCA"/>
    <w:rsid w:val="00153DA0"/>
    <w:rsid w:val="0016191F"/>
    <w:rsid w:val="00165203"/>
    <w:rsid w:val="00167D93"/>
    <w:rsid w:val="00172296"/>
    <w:rsid w:val="00190946"/>
    <w:rsid w:val="0019418A"/>
    <w:rsid w:val="00196403"/>
    <w:rsid w:val="001B4891"/>
    <w:rsid w:val="001B7B04"/>
    <w:rsid w:val="001D7BF4"/>
    <w:rsid w:val="001E022D"/>
    <w:rsid w:val="001E12D8"/>
    <w:rsid w:val="001E3BC7"/>
    <w:rsid w:val="001E6818"/>
    <w:rsid w:val="001F123B"/>
    <w:rsid w:val="00205501"/>
    <w:rsid w:val="00205B0C"/>
    <w:rsid w:val="0021204B"/>
    <w:rsid w:val="00213886"/>
    <w:rsid w:val="00220844"/>
    <w:rsid w:val="00225D0A"/>
    <w:rsid w:val="00226367"/>
    <w:rsid w:val="00230BB0"/>
    <w:rsid w:val="00230CB2"/>
    <w:rsid w:val="002345E4"/>
    <w:rsid w:val="002459F5"/>
    <w:rsid w:val="0025145F"/>
    <w:rsid w:val="00251A43"/>
    <w:rsid w:val="00252DD0"/>
    <w:rsid w:val="00253A29"/>
    <w:rsid w:val="0026017C"/>
    <w:rsid w:val="00274A87"/>
    <w:rsid w:val="002801E2"/>
    <w:rsid w:val="00285083"/>
    <w:rsid w:val="00286801"/>
    <w:rsid w:val="002B286D"/>
    <w:rsid w:val="002C2546"/>
    <w:rsid w:val="002D05D6"/>
    <w:rsid w:val="002D18FD"/>
    <w:rsid w:val="002D1C81"/>
    <w:rsid w:val="002D2198"/>
    <w:rsid w:val="002D3654"/>
    <w:rsid w:val="002D6738"/>
    <w:rsid w:val="002E05BB"/>
    <w:rsid w:val="002F21E0"/>
    <w:rsid w:val="002F737E"/>
    <w:rsid w:val="0030176E"/>
    <w:rsid w:val="003073A9"/>
    <w:rsid w:val="00310204"/>
    <w:rsid w:val="00312EA4"/>
    <w:rsid w:val="00314A61"/>
    <w:rsid w:val="00330B6A"/>
    <w:rsid w:val="0033444F"/>
    <w:rsid w:val="00343973"/>
    <w:rsid w:val="00353BFD"/>
    <w:rsid w:val="00355F36"/>
    <w:rsid w:val="00361B9A"/>
    <w:rsid w:val="00361ECA"/>
    <w:rsid w:val="00370BA0"/>
    <w:rsid w:val="00372A30"/>
    <w:rsid w:val="00375904"/>
    <w:rsid w:val="003763DF"/>
    <w:rsid w:val="00382923"/>
    <w:rsid w:val="00384B7A"/>
    <w:rsid w:val="003851E2"/>
    <w:rsid w:val="003A1F07"/>
    <w:rsid w:val="003A2411"/>
    <w:rsid w:val="003B31F1"/>
    <w:rsid w:val="003D2C3D"/>
    <w:rsid w:val="003E3E74"/>
    <w:rsid w:val="003E6D10"/>
    <w:rsid w:val="003E7913"/>
    <w:rsid w:val="003F0A1B"/>
    <w:rsid w:val="003F3179"/>
    <w:rsid w:val="004042C0"/>
    <w:rsid w:val="0041339E"/>
    <w:rsid w:val="0041369E"/>
    <w:rsid w:val="00413E75"/>
    <w:rsid w:val="0043185C"/>
    <w:rsid w:val="00435865"/>
    <w:rsid w:val="00445321"/>
    <w:rsid w:val="004517FD"/>
    <w:rsid w:val="004551B4"/>
    <w:rsid w:val="004568BF"/>
    <w:rsid w:val="0046054F"/>
    <w:rsid w:val="004613E1"/>
    <w:rsid w:val="0049377E"/>
    <w:rsid w:val="004B1544"/>
    <w:rsid w:val="004B513E"/>
    <w:rsid w:val="004E2369"/>
    <w:rsid w:val="005179FE"/>
    <w:rsid w:val="00522AB5"/>
    <w:rsid w:val="00525975"/>
    <w:rsid w:val="0053556D"/>
    <w:rsid w:val="00545DF3"/>
    <w:rsid w:val="00545F61"/>
    <w:rsid w:val="00550185"/>
    <w:rsid w:val="005627A0"/>
    <w:rsid w:val="00562DE8"/>
    <w:rsid w:val="005654B7"/>
    <w:rsid w:val="005778B8"/>
    <w:rsid w:val="005868EC"/>
    <w:rsid w:val="005A1D91"/>
    <w:rsid w:val="005B327C"/>
    <w:rsid w:val="005B70E8"/>
    <w:rsid w:val="005C05AF"/>
    <w:rsid w:val="005C46A4"/>
    <w:rsid w:val="005C7526"/>
    <w:rsid w:val="005D059A"/>
    <w:rsid w:val="005D1C59"/>
    <w:rsid w:val="005D2737"/>
    <w:rsid w:val="005D66EF"/>
    <w:rsid w:val="005D6CE1"/>
    <w:rsid w:val="005E0932"/>
    <w:rsid w:val="005E6558"/>
    <w:rsid w:val="005F72E0"/>
    <w:rsid w:val="00601F0E"/>
    <w:rsid w:val="0060719C"/>
    <w:rsid w:val="006071B3"/>
    <w:rsid w:val="006073EE"/>
    <w:rsid w:val="00620F88"/>
    <w:rsid w:val="00645ABF"/>
    <w:rsid w:val="006524DF"/>
    <w:rsid w:val="00655D8C"/>
    <w:rsid w:val="00656939"/>
    <w:rsid w:val="00696FFC"/>
    <w:rsid w:val="006A07AA"/>
    <w:rsid w:val="006A43E4"/>
    <w:rsid w:val="006D15FA"/>
    <w:rsid w:val="006D1907"/>
    <w:rsid w:val="006D489D"/>
    <w:rsid w:val="006E5D2C"/>
    <w:rsid w:val="006F0294"/>
    <w:rsid w:val="00703428"/>
    <w:rsid w:val="007068CC"/>
    <w:rsid w:val="00714386"/>
    <w:rsid w:val="0073518D"/>
    <w:rsid w:val="0074016C"/>
    <w:rsid w:val="007416BF"/>
    <w:rsid w:val="00745680"/>
    <w:rsid w:val="00751776"/>
    <w:rsid w:val="00754BE1"/>
    <w:rsid w:val="00757F8D"/>
    <w:rsid w:val="00761637"/>
    <w:rsid w:val="00775BFB"/>
    <w:rsid w:val="00777B94"/>
    <w:rsid w:val="00781167"/>
    <w:rsid w:val="00793384"/>
    <w:rsid w:val="007A38ED"/>
    <w:rsid w:val="007A5DBD"/>
    <w:rsid w:val="007A7AA2"/>
    <w:rsid w:val="007B4FC6"/>
    <w:rsid w:val="007C5E33"/>
    <w:rsid w:val="007E67F0"/>
    <w:rsid w:val="007F04FE"/>
    <w:rsid w:val="00804212"/>
    <w:rsid w:val="00806E8C"/>
    <w:rsid w:val="008119E5"/>
    <w:rsid w:val="0081602C"/>
    <w:rsid w:val="00821469"/>
    <w:rsid w:val="00823FFA"/>
    <w:rsid w:val="00841E89"/>
    <w:rsid w:val="00843AE1"/>
    <w:rsid w:val="00844D27"/>
    <w:rsid w:val="008538CC"/>
    <w:rsid w:val="00865733"/>
    <w:rsid w:val="00867686"/>
    <w:rsid w:val="0087171A"/>
    <w:rsid w:val="0087185C"/>
    <w:rsid w:val="00880DB4"/>
    <w:rsid w:val="008848AB"/>
    <w:rsid w:val="008A1CB9"/>
    <w:rsid w:val="008A7BE1"/>
    <w:rsid w:val="008C30B9"/>
    <w:rsid w:val="008D2ED0"/>
    <w:rsid w:val="008D4CF8"/>
    <w:rsid w:val="008E255B"/>
    <w:rsid w:val="008F14C8"/>
    <w:rsid w:val="008F1D22"/>
    <w:rsid w:val="00913BB7"/>
    <w:rsid w:val="009165C8"/>
    <w:rsid w:val="009202D5"/>
    <w:rsid w:val="00922214"/>
    <w:rsid w:val="00922F7D"/>
    <w:rsid w:val="00925E5E"/>
    <w:rsid w:val="00941EA1"/>
    <w:rsid w:val="00942A62"/>
    <w:rsid w:val="00945FC6"/>
    <w:rsid w:val="009561CA"/>
    <w:rsid w:val="009623B4"/>
    <w:rsid w:val="009641E1"/>
    <w:rsid w:val="00970048"/>
    <w:rsid w:val="00984AA0"/>
    <w:rsid w:val="009A04D4"/>
    <w:rsid w:val="009A105E"/>
    <w:rsid w:val="009A3D56"/>
    <w:rsid w:val="009A4F49"/>
    <w:rsid w:val="009A7C94"/>
    <w:rsid w:val="009B1763"/>
    <w:rsid w:val="009B6334"/>
    <w:rsid w:val="009C104D"/>
    <w:rsid w:val="009D2A8C"/>
    <w:rsid w:val="009D691A"/>
    <w:rsid w:val="009E49E7"/>
    <w:rsid w:val="009F531B"/>
    <w:rsid w:val="00A07F55"/>
    <w:rsid w:val="00A108D9"/>
    <w:rsid w:val="00A175BC"/>
    <w:rsid w:val="00A21000"/>
    <w:rsid w:val="00A234B0"/>
    <w:rsid w:val="00A23802"/>
    <w:rsid w:val="00A30A81"/>
    <w:rsid w:val="00A3125F"/>
    <w:rsid w:val="00A33945"/>
    <w:rsid w:val="00A4632E"/>
    <w:rsid w:val="00A624C5"/>
    <w:rsid w:val="00A65464"/>
    <w:rsid w:val="00A70195"/>
    <w:rsid w:val="00A743B7"/>
    <w:rsid w:val="00A76959"/>
    <w:rsid w:val="00A85159"/>
    <w:rsid w:val="00A85573"/>
    <w:rsid w:val="00A9529F"/>
    <w:rsid w:val="00A960A6"/>
    <w:rsid w:val="00AB4CF2"/>
    <w:rsid w:val="00AB5BBD"/>
    <w:rsid w:val="00AD2F9E"/>
    <w:rsid w:val="00AD627A"/>
    <w:rsid w:val="00AF361F"/>
    <w:rsid w:val="00B00CCB"/>
    <w:rsid w:val="00B10BBA"/>
    <w:rsid w:val="00B23B65"/>
    <w:rsid w:val="00B34F90"/>
    <w:rsid w:val="00B36EFC"/>
    <w:rsid w:val="00B43BE0"/>
    <w:rsid w:val="00B62A40"/>
    <w:rsid w:val="00B70104"/>
    <w:rsid w:val="00B81A3F"/>
    <w:rsid w:val="00B85242"/>
    <w:rsid w:val="00B91DCF"/>
    <w:rsid w:val="00B952EF"/>
    <w:rsid w:val="00BA6D1F"/>
    <w:rsid w:val="00BA78D7"/>
    <w:rsid w:val="00BB7E09"/>
    <w:rsid w:val="00BC1983"/>
    <w:rsid w:val="00BE789E"/>
    <w:rsid w:val="00BF1511"/>
    <w:rsid w:val="00BF2760"/>
    <w:rsid w:val="00BF3BA9"/>
    <w:rsid w:val="00C0173C"/>
    <w:rsid w:val="00C03529"/>
    <w:rsid w:val="00C03C05"/>
    <w:rsid w:val="00C061DF"/>
    <w:rsid w:val="00C12335"/>
    <w:rsid w:val="00C22B79"/>
    <w:rsid w:val="00C27566"/>
    <w:rsid w:val="00C312D3"/>
    <w:rsid w:val="00C354D4"/>
    <w:rsid w:val="00C44BC0"/>
    <w:rsid w:val="00C53FB9"/>
    <w:rsid w:val="00C54948"/>
    <w:rsid w:val="00C60F85"/>
    <w:rsid w:val="00C619D6"/>
    <w:rsid w:val="00C63A5E"/>
    <w:rsid w:val="00C67457"/>
    <w:rsid w:val="00C710A3"/>
    <w:rsid w:val="00C755AD"/>
    <w:rsid w:val="00C92C0E"/>
    <w:rsid w:val="00C93B57"/>
    <w:rsid w:val="00C94E73"/>
    <w:rsid w:val="00CA6E7E"/>
    <w:rsid w:val="00CA6F5A"/>
    <w:rsid w:val="00CC3148"/>
    <w:rsid w:val="00CC3237"/>
    <w:rsid w:val="00CC6D99"/>
    <w:rsid w:val="00CC6DFB"/>
    <w:rsid w:val="00CD6919"/>
    <w:rsid w:val="00CE0951"/>
    <w:rsid w:val="00CE7501"/>
    <w:rsid w:val="00CF0BEC"/>
    <w:rsid w:val="00CF0E21"/>
    <w:rsid w:val="00CF155E"/>
    <w:rsid w:val="00CF40F8"/>
    <w:rsid w:val="00D05BC7"/>
    <w:rsid w:val="00D06228"/>
    <w:rsid w:val="00D17F53"/>
    <w:rsid w:val="00D25A67"/>
    <w:rsid w:val="00D260B3"/>
    <w:rsid w:val="00D26341"/>
    <w:rsid w:val="00D316F3"/>
    <w:rsid w:val="00D35FCA"/>
    <w:rsid w:val="00D41626"/>
    <w:rsid w:val="00D578D7"/>
    <w:rsid w:val="00D6201A"/>
    <w:rsid w:val="00D67025"/>
    <w:rsid w:val="00D7025D"/>
    <w:rsid w:val="00D73AE1"/>
    <w:rsid w:val="00D84099"/>
    <w:rsid w:val="00D86AA8"/>
    <w:rsid w:val="00D86F19"/>
    <w:rsid w:val="00D909E7"/>
    <w:rsid w:val="00DB0A25"/>
    <w:rsid w:val="00DC2976"/>
    <w:rsid w:val="00DC5F0E"/>
    <w:rsid w:val="00DD2A5D"/>
    <w:rsid w:val="00DE6D95"/>
    <w:rsid w:val="00DF72D9"/>
    <w:rsid w:val="00E06937"/>
    <w:rsid w:val="00E2672F"/>
    <w:rsid w:val="00E477D1"/>
    <w:rsid w:val="00E60191"/>
    <w:rsid w:val="00E645BF"/>
    <w:rsid w:val="00E659F7"/>
    <w:rsid w:val="00E67B35"/>
    <w:rsid w:val="00E7439C"/>
    <w:rsid w:val="00E903B2"/>
    <w:rsid w:val="00E93552"/>
    <w:rsid w:val="00EB1257"/>
    <w:rsid w:val="00EB7B59"/>
    <w:rsid w:val="00EC4C14"/>
    <w:rsid w:val="00ED2128"/>
    <w:rsid w:val="00ED36B1"/>
    <w:rsid w:val="00ED3CCD"/>
    <w:rsid w:val="00EE6635"/>
    <w:rsid w:val="00EE728C"/>
    <w:rsid w:val="00F1346E"/>
    <w:rsid w:val="00F176BC"/>
    <w:rsid w:val="00F23CB4"/>
    <w:rsid w:val="00F41D75"/>
    <w:rsid w:val="00F62CF9"/>
    <w:rsid w:val="00F7098D"/>
    <w:rsid w:val="00F712C1"/>
    <w:rsid w:val="00F950F4"/>
    <w:rsid w:val="00FA123C"/>
    <w:rsid w:val="00FA5E9A"/>
    <w:rsid w:val="00FA6E75"/>
    <w:rsid w:val="00FB3E84"/>
    <w:rsid w:val="00FC211D"/>
    <w:rsid w:val="00FC2189"/>
    <w:rsid w:val="00FC6EA2"/>
    <w:rsid w:val="00FC725B"/>
    <w:rsid w:val="00FE16C9"/>
    <w:rsid w:val="00FE2931"/>
    <w:rsid w:val="00FE72F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A8C7F"/>
  <w15:docId w15:val="{554CCE78-8C55-41D9-A222-151238CE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C725B"/>
    <w:pPr>
      <w:spacing w:after="40" w:line="300" w:lineRule="auto"/>
      <w:jc w:val="both"/>
    </w:pPr>
    <w:rPr>
      <w:rFonts w:ascii="Arial" w:eastAsia="Times New Roman" w:hAnsi="Arial" w:cs="Times New Roman"/>
      <w:sz w:val="20"/>
    </w:rPr>
  </w:style>
  <w:style w:type="paragraph" w:styleId="berschrift1">
    <w:name w:val="heading 1"/>
    <w:aliases w:val="Überschrift Head"/>
    <w:basedOn w:val="Standard"/>
    <w:next w:val="Standard"/>
    <w:link w:val="berschrift1Zchn"/>
    <w:autoRedefine/>
    <w:qFormat/>
    <w:rsid w:val="00FC725B"/>
    <w:pPr>
      <w:numPr>
        <w:numId w:val="1"/>
      </w:num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outlineLvl w:val="0"/>
    </w:pPr>
    <w:rPr>
      <w:bCs/>
      <w:caps/>
      <w:color w:val="FFFFFF" w:themeColor="background1"/>
      <w:sz w:val="30"/>
      <w:lang w:val="en-GB"/>
    </w:rPr>
  </w:style>
  <w:style w:type="paragraph" w:styleId="berschrift2">
    <w:name w:val="heading 2"/>
    <w:basedOn w:val="Standard"/>
    <w:next w:val="Standard"/>
    <w:link w:val="berschrift2Zchn"/>
    <w:autoRedefine/>
    <w:qFormat/>
    <w:rsid w:val="00FC725B"/>
    <w:pPr>
      <w:pBdr>
        <w:top w:val="single" w:sz="18" w:space="1" w:color="808080"/>
        <w:left w:val="single" w:sz="18" w:space="4" w:color="808080"/>
        <w:bottom w:val="single" w:sz="18" w:space="1" w:color="808080"/>
        <w:right w:val="single" w:sz="18" w:space="4" w:color="808080"/>
      </w:pBdr>
      <w:shd w:val="clear" w:color="auto" w:fill="808080"/>
      <w:tabs>
        <w:tab w:val="left" w:pos="680"/>
      </w:tabs>
      <w:spacing w:after="120" w:line="240" w:lineRule="auto"/>
      <w:outlineLvl w:val="1"/>
    </w:pPr>
    <w:rPr>
      <w:b/>
      <w:caps/>
      <w:color w:val="FFFFFF" w:themeColor="background1"/>
      <w:sz w:val="24"/>
      <w:szCs w:val="24"/>
      <w:lang w:eastAsia="de-DE"/>
    </w:rPr>
  </w:style>
  <w:style w:type="paragraph" w:styleId="berschrift3">
    <w:name w:val="heading 3"/>
    <w:basedOn w:val="Standard"/>
    <w:next w:val="Standard"/>
    <w:link w:val="berschrift3Zchn"/>
    <w:autoRedefine/>
    <w:qFormat/>
    <w:rsid w:val="00FC725B"/>
    <w:pPr>
      <w:pBdr>
        <w:top w:val="single" w:sz="18" w:space="1" w:color="B0B0B0"/>
        <w:left w:val="single" w:sz="18" w:space="4" w:color="B0B0B0"/>
        <w:bottom w:val="single" w:sz="18" w:space="1" w:color="B0B0B0"/>
        <w:right w:val="single" w:sz="18" w:space="4" w:color="B0B0B0"/>
      </w:pBdr>
      <w:shd w:val="clear" w:color="auto" w:fill="B0B0B0"/>
      <w:spacing w:before="200" w:after="120" w:line="240" w:lineRule="auto"/>
      <w:ind w:left="567" w:hanging="567"/>
      <w:outlineLvl w:val="2"/>
    </w:pPr>
    <w:rPr>
      <w:rFonts w:cs="Arial"/>
      <w:b/>
      <w:bCs/>
      <w:caps/>
      <w:szCs w:val="26"/>
      <w:lang w:eastAsia="de-DE"/>
    </w:rPr>
  </w:style>
  <w:style w:type="paragraph" w:styleId="berschrift5">
    <w:name w:val="heading 5"/>
    <w:aliases w:val="Überschrift1"/>
    <w:basedOn w:val="Standard"/>
    <w:next w:val="Standard"/>
    <w:link w:val="berschrift5Zchn"/>
    <w:uiPriority w:val="9"/>
    <w:unhideWhenUsed/>
    <w:qFormat/>
    <w:rsid w:val="00FC725B"/>
    <w:pPr>
      <w:keepNext/>
      <w:keepLines/>
      <w:numPr>
        <w:ilvl w:val="4"/>
        <w:numId w:val="1"/>
      </w:numPr>
      <w:shd w:val="clear" w:color="auto" w:fill="82AB28"/>
      <w:spacing w:before="240" w:after="120" w:line="240" w:lineRule="auto"/>
      <w:outlineLvl w:val="4"/>
    </w:pPr>
    <w:rPr>
      <w:rFonts w:eastAsiaTheme="majorEastAsia" w:cstheme="majorBidi"/>
      <w:color w:val="FFFFFF" w:themeColor="background1"/>
      <w:sz w:val="30"/>
    </w:rPr>
  </w:style>
  <w:style w:type="paragraph" w:styleId="berschrift6">
    <w:name w:val="heading 6"/>
    <w:aliases w:val="Überschrift 1.1"/>
    <w:basedOn w:val="Standard"/>
    <w:next w:val="Standard"/>
    <w:link w:val="berschrift6Zchn"/>
    <w:uiPriority w:val="9"/>
    <w:semiHidden/>
    <w:unhideWhenUsed/>
    <w:qFormat/>
    <w:rsid w:val="00FC725B"/>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FC725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725B"/>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FC725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Head Zchn"/>
    <w:basedOn w:val="Absatz-Standardschriftart"/>
    <w:link w:val="berschrift1"/>
    <w:rsid w:val="00FC725B"/>
    <w:rPr>
      <w:rFonts w:ascii="Arial" w:eastAsia="Times New Roman" w:hAnsi="Arial" w:cs="Times New Roman"/>
      <w:bCs/>
      <w:caps/>
      <w:color w:val="FFFFFF" w:themeColor="background1"/>
      <w:sz w:val="30"/>
      <w:shd w:val="clear" w:color="auto" w:fill="82AB28"/>
      <w:lang w:val="en-GB"/>
    </w:rPr>
  </w:style>
  <w:style w:type="character" w:customStyle="1" w:styleId="berschrift2Zchn">
    <w:name w:val="Überschrift 2 Zchn"/>
    <w:basedOn w:val="Absatz-Standardschriftart"/>
    <w:link w:val="berschrift2"/>
    <w:rsid w:val="00FC725B"/>
    <w:rPr>
      <w:rFonts w:ascii="Arial" w:eastAsia="Times New Roman" w:hAnsi="Arial" w:cs="Times New Roman"/>
      <w:b/>
      <w:caps/>
      <w:color w:val="FFFFFF" w:themeColor="background1"/>
      <w:sz w:val="24"/>
      <w:szCs w:val="24"/>
      <w:shd w:val="clear" w:color="auto" w:fill="808080"/>
      <w:lang w:eastAsia="de-DE"/>
    </w:rPr>
  </w:style>
  <w:style w:type="character" w:customStyle="1" w:styleId="berschrift3Zchn">
    <w:name w:val="Überschrift 3 Zchn"/>
    <w:basedOn w:val="Absatz-Standardschriftart"/>
    <w:link w:val="berschrift3"/>
    <w:rsid w:val="00FC725B"/>
    <w:rPr>
      <w:rFonts w:ascii="Arial" w:eastAsia="Times New Roman" w:hAnsi="Arial" w:cs="Arial"/>
      <w:b/>
      <w:bCs/>
      <w:caps/>
      <w:sz w:val="20"/>
      <w:szCs w:val="26"/>
      <w:shd w:val="clear" w:color="auto" w:fill="B0B0B0"/>
      <w:lang w:eastAsia="de-DE"/>
    </w:rPr>
  </w:style>
  <w:style w:type="character" w:customStyle="1" w:styleId="berschrift5Zchn">
    <w:name w:val="Überschrift 5 Zchn"/>
    <w:aliases w:val="Überschrift1 Zchn"/>
    <w:basedOn w:val="Absatz-Standardschriftart"/>
    <w:link w:val="berschrift5"/>
    <w:uiPriority w:val="9"/>
    <w:rsid w:val="00FC725B"/>
    <w:rPr>
      <w:rFonts w:ascii="Arial" w:eastAsiaTheme="majorEastAsia" w:hAnsi="Arial" w:cstheme="majorBidi"/>
      <w:color w:val="FFFFFF" w:themeColor="background1"/>
      <w:sz w:val="30"/>
      <w:shd w:val="clear" w:color="auto" w:fill="82AB28"/>
    </w:rPr>
  </w:style>
  <w:style w:type="character" w:customStyle="1" w:styleId="berschrift6Zchn">
    <w:name w:val="Überschrift 6 Zchn"/>
    <w:aliases w:val="Überschrift 1.1 Zchn"/>
    <w:basedOn w:val="Absatz-Standardschriftart"/>
    <w:link w:val="berschrift6"/>
    <w:uiPriority w:val="9"/>
    <w:semiHidden/>
    <w:rsid w:val="00FC725B"/>
    <w:rPr>
      <w:rFonts w:asciiTheme="majorHAnsi" w:eastAsiaTheme="majorEastAsia" w:hAnsiTheme="majorHAnsi" w:cstheme="majorBidi"/>
      <w:i/>
      <w:iCs/>
      <w:color w:val="1F4D78" w:themeColor="accent1" w:themeShade="7F"/>
      <w:sz w:val="20"/>
    </w:rPr>
  </w:style>
  <w:style w:type="character" w:customStyle="1" w:styleId="berschrift7Zchn">
    <w:name w:val="Überschrift 7 Zchn"/>
    <w:basedOn w:val="Absatz-Standardschriftart"/>
    <w:link w:val="berschrift7"/>
    <w:uiPriority w:val="9"/>
    <w:semiHidden/>
    <w:rsid w:val="00FC725B"/>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FC725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FC725B"/>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link w:val="ListenabsatzZchn"/>
    <w:uiPriority w:val="34"/>
    <w:qFormat/>
    <w:rsid w:val="00FC725B"/>
    <w:pPr>
      <w:ind w:left="720"/>
      <w:contextualSpacing/>
    </w:pPr>
  </w:style>
  <w:style w:type="table" w:styleId="Tabellenraster">
    <w:name w:val="Table Grid"/>
    <w:basedOn w:val="NormaleTabelle"/>
    <w:uiPriority w:val="59"/>
    <w:rsid w:val="00FC725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semiHidden/>
    <w:unhideWhenUsed/>
    <w:rsid w:val="00FC725B"/>
    <w:rPr>
      <w:sz w:val="16"/>
      <w:szCs w:val="16"/>
    </w:rPr>
  </w:style>
  <w:style w:type="paragraph" w:styleId="Kommentartext">
    <w:name w:val="annotation text"/>
    <w:basedOn w:val="Standard"/>
    <w:link w:val="KommentartextZchn"/>
    <w:unhideWhenUsed/>
    <w:rsid w:val="00FC725B"/>
    <w:pPr>
      <w:spacing w:line="240" w:lineRule="auto"/>
    </w:pPr>
    <w:rPr>
      <w:szCs w:val="20"/>
    </w:rPr>
  </w:style>
  <w:style w:type="character" w:customStyle="1" w:styleId="KommentartextZchn">
    <w:name w:val="Kommentartext Zchn"/>
    <w:basedOn w:val="Absatz-Standardschriftart"/>
    <w:link w:val="Kommentartext"/>
    <w:rsid w:val="00FC725B"/>
    <w:rPr>
      <w:rFonts w:ascii="Arial" w:eastAsia="Times New Roman" w:hAnsi="Arial" w:cs="Times New Roman"/>
      <w:sz w:val="20"/>
      <w:szCs w:val="20"/>
    </w:rPr>
  </w:style>
  <w:style w:type="character" w:customStyle="1" w:styleId="ListenabsatzZchn">
    <w:name w:val="Listenabsatz Zchn"/>
    <w:basedOn w:val="Absatz-Standardschriftart"/>
    <w:link w:val="Listenabsatz"/>
    <w:uiPriority w:val="34"/>
    <w:rsid w:val="00FC725B"/>
    <w:rPr>
      <w:rFonts w:ascii="Arial" w:eastAsia="Times New Roman" w:hAnsi="Arial" w:cs="Times New Roman"/>
      <w:sz w:val="20"/>
    </w:rPr>
  </w:style>
  <w:style w:type="paragraph" w:styleId="Sprechblasentext">
    <w:name w:val="Balloon Text"/>
    <w:basedOn w:val="Standard"/>
    <w:link w:val="SprechblasentextZchn"/>
    <w:uiPriority w:val="99"/>
    <w:semiHidden/>
    <w:unhideWhenUsed/>
    <w:rsid w:val="00FC725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C725B"/>
    <w:rPr>
      <w:rFonts w:ascii="Segoe UI" w:eastAsia="Times New Roman" w:hAnsi="Segoe UI" w:cs="Segoe UI"/>
      <w:sz w:val="18"/>
      <w:szCs w:val="18"/>
    </w:rPr>
  </w:style>
  <w:style w:type="paragraph" w:styleId="Kommentarthema">
    <w:name w:val="annotation subject"/>
    <w:basedOn w:val="Kommentartext"/>
    <w:next w:val="Kommentartext"/>
    <w:link w:val="KommentarthemaZchn"/>
    <w:uiPriority w:val="99"/>
    <w:semiHidden/>
    <w:unhideWhenUsed/>
    <w:rsid w:val="0049377E"/>
    <w:rPr>
      <w:b/>
      <w:bCs/>
    </w:rPr>
  </w:style>
  <w:style w:type="character" w:customStyle="1" w:styleId="KommentarthemaZchn">
    <w:name w:val="Kommentarthema Zchn"/>
    <w:basedOn w:val="KommentartextZchn"/>
    <w:link w:val="Kommentarthema"/>
    <w:uiPriority w:val="99"/>
    <w:semiHidden/>
    <w:rsid w:val="0049377E"/>
    <w:rPr>
      <w:rFonts w:ascii="Arial" w:eastAsia="Times New Roman" w:hAnsi="Arial" w:cs="Times New Roman"/>
      <w:b/>
      <w:bCs/>
      <w:sz w:val="20"/>
      <w:szCs w:val="20"/>
    </w:rPr>
  </w:style>
  <w:style w:type="paragraph" w:styleId="Kopfzeile">
    <w:name w:val="header"/>
    <w:basedOn w:val="Standard"/>
    <w:link w:val="KopfzeileZchn"/>
    <w:uiPriority w:val="99"/>
    <w:unhideWhenUsed/>
    <w:rsid w:val="000D29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2900"/>
    <w:rPr>
      <w:rFonts w:ascii="Arial" w:eastAsia="Times New Roman" w:hAnsi="Arial" w:cs="Times New Roman"/>
      <w:sz w:val="20"/>
    </w:rPr>
  </w:style>
  <w:style w:type="paragraph" w:styleId="Fuzeile">
    <w:name w:val="footer"/>
    <w:basedOn w:val="Standard"/>
    <w:link w:val="FuzeileZchn"/>
    <w:uiPriority w:val="99"/>
    <w:unhideWhenUsed/>
    <w:rsid w:val="000D29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2900"/>
    <w:rPr>
      <w:rFonts w:ascii="Arial" w:eastAsia="Times New Roman" w:hAnsi="Arial" w:cs="Times New Roman"/>
      <w:sz w:val="20"/>
    </w:rPr>
  </w:style>
  <w:style w:type="paragraph" w:customStyle="1" w:styleId="Default">
    <w:name w:val="Default"/>
    <w:rsid w:val="006073E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1AF04-D770-4EEF-8B74-1C8AB5C8B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3634</Words>
  <Characters>22901</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AMA - User</Company>
  <LinksUpToDate>false</LinksUpToDate>
  <CharactersWithSpaces>26483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Froschauer Rita</dc:creator>
  <cp:keywords/>
  <dc:description/>
  <cp:lastModifiedBy>Froschauer Rita</cp:lastModifiedBy>
  <cp:revision>4</cp:revision>
  <cp:lastPrinted>2018-01-23T08:39:00Z</cp:lastPrinted>
  <dcterms:created xsi:type="dcterms:W3CDTF">2018-06-26T12:37:00Z</dcterms:created>
  <dcterms:modified xsi:type="dcterms:W3CDTF">2018-06-27T07:19:00Z</dcterms:modified>
</cp:coreProperties>
</file>